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A2" w:rsidRDefault="000F6FA2" w:rsidP="000F6FA2">
      <w:pPr>
        <w:pStyle w:val="a3"/>
        <w:rPr>
          <w:rFonts w:ascii="Arial" w:hAnsi="Arial" w:cs="Arial"/>
          <w:b w:val="0"/>
          <w:sz w:val="24"/>
        </w:rPr>
      </w:pPr>
      <w:r w:rsidRPr="002450DF">
        <w:rPr>
          <w:rFonts w:ascii="Arial" w:hAnsi="Arial" w:cs="Arial"/>
          <w:b w:val="0"/>
          <w:sz w:val="24"/>
        </w:rPr>
        <w:t xml:space="preserve">Администрация </w:t>
      </w:r>
      <w:r w:rsidR="009A61A2">
        <w:rPr>
          <w:rFonts w:ascii="Arial" w:hAnsi="Arial" w:cs="Arial"/>
          <w:b w:val="0"/>
          <w:sz w:val="24"/>
        </w:rPr>
        <w:t xml:space="preserve">Беляницкого </w:t>
      </w:r>
      <w:proofErr w:type="gramStart"/>
      <w:r w:rsidR="009A61A2">
        <w:rPr>
          <w:rFonts w:ascii="Arial" w:hAnsi="Arial" w:cs="Arial"/>
          <w:b w:val="0"/>
          <w:sz w:val="24"/>
        </w:rPr>
        <w:t>сельского</w:t>
      </w:r>
      <w:proofErr w:type="gramEnd"/>
      <w:r w:rsidR="009A61A2">
        <w:rPr>
          <w:rFonts w:ascii="Arial" w:hAnsi="Arial" w:cs="Arial"/>
          <w:b w:val="0"/>
          <w:sz w:val="24"/>
        </w:rPr>
        <w:t xml:space="preserve"> поселения</w:t>
      </w:r>
    </w:p>
    <w:p w:rsidR="000F6FA2" w:rsidRPr="009A61A2" w:rsidRDefault="000F6FA2" w:rsidP="009A61A2">
      <w:pPr>
        <w:pStyle w:val="a3"/>
        <w:rPr>
          <w:rFonts w:ascii="Arial" w:hAnsi="Arial" w:cs="Arial"/>
          <w:b w:val="0"/>
          <w:sz w:val="24"/>
        </w:rPr>
      </w:pPr>
      <w:r w:rsidRPr="002450DF">
        <w:rPr>
          <w:rFonts w:ascii="Arial" w:hAnsi="Arial" w:cs="Arial"/>
          <w:b w:val="0"/>
          <w:sz w:val="24"/>
        </w:rPr>
        <w:t xml:space="preserve">  Сонковск</w:t>
      </w:r>
      <w:r w:rsidR="009A61A2">
        <w:rPr>
          <w:rFonts w:ascii="Arial" w:hAnsi="Arial" w:cs="Arial"/>
          <w:b w:val="0"/>
          <w:sz w:val="24"/>
        </w:rPr>
        <w:t xml:space="preserve">ий </w:t>
      </w:r>
      <w:r w:rsidRPr="002450DF">
        <w:rPr>
          <w:rFonts w:ascii="Arial" w:hAnsi="Arial" w:cs="Arial"/>
          <w:b w:val="0"/>
          <w:sz w:val="24"/>
        </w:rPr>
        <w:t xml:space="preserve"> район</w:t>
      </w:r>
      <w:r w:rsidR="009A61A2">
        <w:rPr>
          <w:rFonts w:ascii="Arial" w:hAnsi="Arial" w:cs="Arial"/>
          <w:b w:val="0"/>
          <w:sz w:val="24"/>
        </w:rPr>
        <w:t xml:space="preserve">  </w:t>
      </w:r>
      <w:r w:rsidRPr="009A61A2">
        <w:rPr>
          <w:rFonts w:ascii="Arial" w:hAnsi="Arial" w:cs="Arial"/>
          <w:b w:val="0"/>
          <w:sz w:val="24"/>
        </w:rPr>
        <w:t>Тверская область</w:t>
      </w:r>
    </w:p>
    <w:p w:rsidR="000F6FA2" w:rsidRPr="002450DF" w:rsidRDefault="000F6FA2" w:rsidP="000F6FA2">
      <w:pPr>
        <w:jc w:val="center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center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  <w:sz w:val="24"/>
          <w:szCs w:val="24"/>
        </w:rPr>
        <w:t>Постановление</w:t>
      </w:r>
    </w:p>
    <w:p w:rsidR="000F6FA2" w:rsidRDefault="009A61A2" w:rsidP="000F6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25.12.2014                                       с.Беляницы</w:t>
      </w:r>
      <w:r w:rsidR="000F6FA2" w:rsidRPr="002450D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0F6FA2" w:rsidRPr="002450DF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>3</w:t>
      </w:r>
      <w:r w:rsidR="00F840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-па  </w:t>
      </w:r>
    </w:p>
    <w:p w:rsidR="00AD4BC6" w:rsidRPr="002450DF" w:rsidRDefault="00AD4BC6" w:rsidP="000F6FA2">
      <w:pPr>
        <w:rPr>
          <w:rFonts w:ascii="Arial" w:hAnsi="Arial" w:cs="Arial"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О порядке определения </w:t>
      </w:r>
      <w:proofErr w:type="gramStart"/>
      <w:r w:rsidRPr="00EC18C4">
        <w:rPr>
          <w:rFonts w:ascii="Arial" w:hAnsi="Arial" w:cs="Arial"/>
          <w:bCs/>
          <w:sz w:val="24"/>
          <w:szCs w:val="24"/>
        </w:rPr>
        <w:t>нормативных</w:t>
      </w:r>
      <w:proofErr w:type="gramEnd"/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затрат на обеспечение функций органов</w:t>
      </w: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 xml:space="preserve"> 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6FA2" w:rsidRPr="00EC18C4" w:rsidRDefault="009A61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Беляницкое сельское поселение Сонковского района Тверской области</w:t>
      </w: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50DF">
        <w:rPr>
          <w:rFonts w:ascii="Arial" w:hAnsi="Arial" w:cs="Arial"/>
        </w:rPr>
        <w:t xml:space="preserve">            </w:t>
      </w:r>
      <w:r w:rsidRPr="00EC18C4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C18C4">
          <w:rPr>
            <w:rFonts w:ascii="Arial" w:hAnsi="Arial" w:cs="Arial"/>
            <w:sz w:val="24"/>
            <w:szCs w:val="24"/>
          </w:rPr>
          <w:t>пунктом 2 части 4 статьи 19</w:t>
        </w:r>
      </w:hyperlink>
      <w:r w:rsidRPr="00EC18C4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9A61A2">
        <w:rPr>
          <w:rFonts w:ascii="Arial" w:hAnsi="Arial" w:cs="Arial"/>
          <w:sz w:val="24"/>
          <w:szCs w:val="24"/>
        </w:rPr>
        <w:t xml:space="preserve">Беляницкого сельского поселения </w:t>
      </w:r>
      <w:r w:rsidRPr="00EC18C4">
        <w:rPr>
          <w:rFonts w:ascii="Arial" w:hAnsi="Arial" w:cs="Arial"/>
          <w:sz w:val="24"/>
          <w:szCs w:val="24"/>
        </w:rPr>
        <w:t xml:space="preserve">Сонковского района </w:t>
      </w:r>
      <w:r w:rsidR="009A61A2">
        <w:rPr>
          <w:rFonts w:ascii="Arial" w:hAnsi="Arial" w:cs="Arial"/>
          <w:sz w:val="24"/>
          <w:szCs w:val="24"/>
        </w:rPr>
        <w:t xml:space="preserve">Тверской области </w:t>
      </w:r>
      <w:r w:rsidRPr="00EC18C4">
        <w:rPr>
          <w:rFonts w:ascii="Arial" w:hAnsi="Arial" w:cs="Arial"/>
          <w:sz w:val="24"/>
          <w:szCs w:val="24"/>
        </w:rPr>
        <w:t>постановляет: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35" w:history="1">
        <w:r w:rsidRPr="00EC18C4">
          <w:rPr>
            <w:rFonts w:ascii="Arial" w:hAnsi="Arial" w:cs="Arial"/>
            <w:sz w:val="24"/>
            <w:szCs w:val="24"/>
          </w:rPr>
          <w:t>требования</w:t>
        </w:r>
      </w:hyperlink>
      <w:r w:rsidRPr="00EC18C4">
        <w:rPr>
          <w:rFonts w:ascii="Arial" w:hAnsi="Arial" w:cs="Arial"/>
          <w:sz w:val="24"/>
          <w:szCs w:val="24"/>
        </w:rPr>
        <w:t xml:space="preserve"> к определению нормативных затрат на обеспечение функций органов местного самоуправления муниципального образования </w:t>
      </w:r>
      <w:r w:rsidR="009A61A2">
        <w:rPr>
          <w:rFonts w:ascii="Arial" w:hAnsi="Arial" w:cs="Arial"/>
          <w:sz w:val="24"/>
          <w:szCs w:val="24"/>
        </w:rPr>
        <w:t xml:space="preserve"> Беляницкое сельское поселение Сонковского района Тверской области</w:t>
      </w:r>
      <w:r w:rsidRPr="00EC18C4">
        <w:rPr>
          <w:rFonts w:ascii="Arial" w:hAnsi="Arial" w:cs="Arial"/>
          <w:sz w:val="24"/>
          <w:szCs w:val="24"/>
        </w:rPr>
        <w:t xml:space="preserve"> в том числе подведомственных им казенных учреждений (прилагается).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ar19"/>
      <w:bookmarkStart w:id="1" w:name="Par20"/>
      <w:bookmarkEnd w:id="0"/>
      <w:bookmarkEnd w:id="1"/>
      <w:r w:rsidRPr="00EC18C4">
        <w:rPr>
          <w:rFonts w:ascii="Arial" w:hAnsi="Arial" w:cs="Arial"/>
          <w:sz w:val="24"/>
          <w:szCs w:val="24"/>
        </w:rPr>
        <w:t>2. Настоящее постановление вступа</w:t>
      </w:r>
      <w:r w:rsidR="009A61A2">
        <w:rPr>
          <w:rFonts w:ascii="Arial" w:hAnsi="Arial" w:cs="Arial"/>
          <w:sz w:val="24"/>
          <w:szCs w:val="24"/>
        </w:rPr>
        <w:t xml:space="preserve">ет в силу с 1 января 2015 года и подлежит обнародованию в установленном порядке и </w:t>
      </w:r>
      <w:r w:rsidRPr="00EC18C4">
        <w:rPr>
          <w:rFonts w:ascii="Arial" w:hAnsi="Arial" w:cs="Arial"/>
          <w:sz w:val="24"/>
          <w:szCs w:val="24"/>
        </w:rPr>
        <w:t>размещению в телекоммуникационной сети Интернет</w:t>
      </w:r>
      <w:r w:rsidRPr="00EC18C4">
        <w:rPr>
          <w:rFonts w:ascii="Arial" w:hAnsi="Arial" w:cs="Arial"/>
          <w:b/>
          <w:sz w:val="24"/>
          <w:szCs w:val="24"/>
        </w:rPr>
        <w:t>.</w:t>
      </w:r>
    </w:p>
    <w:p w:rsidR="000F6FA2" w:rsidRPr="00EC18C4" w:rsidRDefault="000F6FA2" w:rsidP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F6FA2" w:rsidRPr="00EC18C4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A61A2" w:rsidRDefault="009A61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администрации </w:t>
      </w:r>
    </w:p>
    <w:p w:rsidR="000F6FA2" w:rsidRPr="00EC18C4" w:rsidRDefault="009A61A2" w:rsidP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Беляницкого сельского поселения: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Т.Н.Немушкова</w:t>
      </w:r>
      <w:proofErr w:type="spellEnd"/>
    </w:p>
    <w:p w:rsidR="000F6FA2" w:rsidRPr="002450DF" w:rsidRDefault="000F6FA2" w:rsidP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jc w:val="both"/>
        <w:rPr>
          <w:rFonts w:ascii="Arial" w:hAnsi="Arial" w:cs="Arial"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  <w:bookmarkStart w:id="2" w:name="sub_8"/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p w:rsidR="000F6FA2" w:rsidRPr="002450DF" w:rsidRDefault="000F6FA2" w:rsidP="000F6FA2">
      <w:pPr>
        <w:rPr>
          <w:rFonts w:ascii="Arial" w:hAnsi="Arial" w:cs="Arial"/>
          <w:b/>
          <w:sz w:val="24"/>
          <w:szCs w:val="24"/>
        </w:rPr>
      </w:pPr>
    </w:p>
    <w:bookmarkEnd w:id="2"/>
    <w:p w:rsidR="000F6FA2" w:rsidRPr="002450DF" w:rsidRDefault="000F6FA2" w:rsidP="000F6FA2">
      <w:pPr>
        <w:rPr>
          <w:rFonts w:ascii="Arial" w:hAnsi="Arial" w:cs="Arial"/>
          <w:sz w:val="24"/>
          <w:szCs w:val="24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41285" w:rsidRPr="002450DF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0F6FA2" w:rsidRPr="002450DF" w:rsidRDefault="000F6F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F50EC3" w:rsidRDefault="00F50EC3" w:rsidP="0059659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bookmarkStart w:id="3" w:name="Par30"/>
      <w:bookmarkEnd w:id="3"/>
    </w:p>
    <w:p w:rsidR="00660C23" w:rsidRPr="00EC18C4" w:rsidRDefault="00F50EC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660C23" w:rsidRPr="00EC18C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660C23" w:rsidRPr="00EC18C4">
        <w:rPr>
          <w:rFonts w:ascii="Arial" w:hAnsi="Arial" w:cs="Arial"/>
          <w:sz w:val="24"/>
          <w:szCs w:val="24"/>
        </w:rPr>
        <w:t xml:space="preserve"> </w:t>
      </w:r>
    </w:p>
    <w:p w:rsidR="007F55C6" w:rsidRDefault="00D4128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администрации </w:t>
      </w:r>
      <w:r w:rsidR="007F55C6">
        <w:rPr>
          <w:rFonts w:ascii="Arial" w:hAnsi="Arial" w:cs="Arial"/>
          <w:sz w:val="24"/>
          <w:szCs w:val="24"/>
        </w:rPr>
        <w:t xml:space="preserve">Беляницкого </w:t>
      </w:r>
      <w:proofErr w:type="gramStart"/>
      <w:r w:rsidR="007F55C6">
        <w:rPr>
          <w:rFonts w:ascii="Arial" w:hAnsi="Arial" w:cs="Arial"/>
          <w:sz w:val="24"/>
          <w:szCs w:val="24"/>
        </w:rPr>
        <w:t>сельского</w:t>
      </w:r>
      <w:proofErr w:type="gramEnd"/>
      <w:r w:rsidR="007F55C6">
        <w:rPr>
          <w:rFonts w:ascii="Arial" w:hAnsi="Arial" w:cs="Arial"/>
          <w:sz w:val="24"/>
          <w:szCs w:val="24"/>
        </w:rPr>
        <w:t xml:space="preserve"> поселения</w:t>
      </w:r>
    </w:p>
    <w:p w:rsidR="00660C23" w:rsidRPr="00EC18C4" w:rsidRDefault="007F55C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1285" w:rsidRPr="00EC18C4">
        <w:rPr>
          <w:rFonts w:ascii="Arial" w:hAnsi="Arial" w:cs="Arial"/>
          <w:sz w:val="24"/>
          <w:szCs w:val="24"/>
        </w:rPr>
        <w:t xml:space="preserve">Сонковского района </w:t>
      </w:r>
      <w:r>
        <w:rPr>
          <w:rFonts w:ascii="Arial" w:hAnsi="Arial" w:cs="Arial"/>
          <w:sz w:val="24"/>
          <w:szCs w:val="24"/>
        </w:rPr>
        <w:t>Тверской области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от </w:t>
      </w:r>
      <w:r w:rsidR="009A61A2">
        <w:rPr>
          <w:rFonts w:ascii="Arial" w:hAnsi="Arial" w:cs="Arial"/>
          <w:sz w:val="24"/>
          <w:szCs w:val="24"/>
        </w:rPr>
        <w:t>25.12.2014</w:t>
      </w:r>
      <w:r w:rsidR="007F55C6">
        <w:rPr>
          <w:rFonts w:ascii="Arial" w:hAnsi="Arial" w:cs="Arial"/>
          <w:sz w:val="24"/>
          <w:szCs w:val="24"/>
        </w:rPr>
        <w:t xml:space="preserve"> </w:t>
      </w:r>
      <w:bookmarkStart w:id="4" w:name="_GoBack"/>
      <w:bookmarkEnd w:id="4"/>
      <w:r w:rsidR="009A61A2">
        <w:rPr>
          <w:rFonts w:ascii="Arial" w:hAnsi="Arial" w:cs="Arial"/>
          <w:sz w:val="24"/>
          <w:szCs w:val="24"/>
        </w:rPr>
        <w:t>№3</w:t>
      </w:r>
      <w:r w:rsidR="00F84061">
        <w:rPr>
          <w:rFonts w:ascii="Arial" w:hAnsi="Arial" w:cs="Arial"/>
          <w:sz w:val="24"/>
          <w:szCs w:val="24"/>
        </w:rPr>
        <w:t>6</w:t>
      </w:r>
      <w:r w:rsidR="009A61A2">
        <w:rPr>
          <w:rFonts w:ascii="Arial" w:hAnsi="Arial" w:cs="Arial"/>
          <w:sz w:val="24"/>
          <w:szCs w:val="24"/>
        </w:rPr>
        <w:t>-па</w:t>
      </w:r>
      <w:r w:rsidRPr="00EC18C4">
        <w:rPr>
          <w:rFonts w:ascii="Arial" w:hAnsi="Arial" w:cs="Arial"/>
          <w:sz w:val="24"/>
          <w:szCs w:val="24"/>
        </w:rPr>
        <w:t xml:space="preserve"> </w:t>
      </w:r>
      <w:r w:rsidR="009A61A2">
        <w:rPr>
          <w:rFonts w:ascii="Arial" w:hAnsi="Arial" w:cs="Arial"/>
          <w:sz w:val="24"/>
          <w:szCs w:val="24"/>
        </w:rPr>
        <w:t xml:space="preserve"> 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5" w:name="Par35"/>
      <w:bookmarkEnd w:id="5"/>
      <w:r w:rsidRPr="00EC18C4">
        <w:rPr>
          <w:rFonts w:ascii="Arial" w:hAnsi="Arial" w:cs="Arial"/>
          <w:bCs/>
          <w:sz w:val="24"/>
          <w:szCs w:val="24"/>
        </w:rPr>
        <w:t>Требования</w:t>
      </w:r>
    </w:p>
    <w:p w:rsidR="00660C23" w:rsidRPr="00EC18C4" w:rsidRDefault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к определению нормативных затрат на обеспечени</w:t>
      </w:r>
      <w:r w:rsidR="00C95FE1" w:rsidRPr="00EC18C4">
        <w:rPr>
          <w:rFonts w:ascii="Arial" w:hAnsi="Arial" w:cs="Arial"/>
          <w:bCs/>
          <w:sz w:val="24"/>
          <w:szCs w:val="24"/>
        </w:rPr>
        <w:t>е</w:t>
      </w:r>
      <w:r w:rsidRPr="00EC18C4">
        <w:rPr>
          <w:rFonts w:ascii="Arial" w:hAnsi="Arial" w:cs="Arial"/>
          <w:bCs/>
          <w:sz w:val="24"/>
          <w:szCs w:val="24"/>
        </w:rPr>
        <w:t xml:space="preserve"> функций</w:t>
      </w:r>
    </w:p>
    <w:p w:rsidR="00D41285" w:rsidRPr="00EC18C4" w:rsidRDefault="00D41285" w:rsidP="00D4128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C18C4">
        <w:rPr>
          <w:rFonts w:ascii="Arial" w:hAnsi="Arial" w:cs="Arial"/>
          <w:bCs/>
          <w:sz w:val="24"/>
          <w:szCs w:val="24"/>
        </w:rPr>
        <w:t>органов местного самоуправления</w:t>
      </w:r>
      <w:r w:rsidR="000F6FA2" w:rsidRPr="00EC18C4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9A61A2">
        <w:rPr>
          <w:rFonts w:ascii="Arial" w:hAnsi="Arial" w:cs="Arial"/>
          <w:bCs/>
          <w:sz w:val="24"/>
          <w:szCs w:val="24"/>
        </w:rPr>
        <w:t xml:space="preserve">Беляницкое сельское поселение Сонковского района </w:t>
      </w:r>
      <w:r w:rsidR="000F6FA2" w:rsidRPr="00EC18C4">
        <w:rPr>
          <w:rFonts w:ascii="Arial" w:hAnsi="Arial" w:cs="Arial"/>
          <w:bCs/>
          <w:sz w:val="24"/>
          <w:szCs w:val="24"/>
        </w:rPr>
        <w:t>Тверской области</w:t>
      </w:r>
      <w:r w:rsidR="009A61A2">
        <w:rPr>
          <w:rFonts w:ascii="Arial" w:hAnsi="Arial" w:cs="Arial"/>
          <w:bCs/>
          <w:sz w:val="24"/>
          <w:szCs w:val="24"/>
        </w:rPr>
        <w:t xml:space="preserve">, </w:t>
      </w:r>
      <w:r w:rsidRPr="00EC18C4">
        <w:rPr>
          <w:rFonts w:ascii="Arial" w:hAnsi="Arial" w:cs="Arial"/>
          <w:bCs/>
          <w:sz w:val="24"/>
          <w:szCs w:val="24"/>
        </w:rPr>
        <w:t>в том числе подведомственных им казенных учреждений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 w:rsidR="008A6D07" w:rsidRPr="00EC18C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61A2">
        <w:rPr>
          <w:rFonts w:ascii="Arial" w:hAnsi="Arial" w:cs="Arial"/>
          <w:sz w:val="24"/>
          <w:szCs w:val="24"/>
        </w:rPr>
        <w:t xml:space="preserve">Беляницкое сельское поселение Сонковского района </w:t>
      </w:r>
      <w:r w:rsidR="008A6D07" w:rsidRPr="00EC18C4">
        <w:rPr>
          <w:rFonts w:ascii="Arial" w:hAnsi="Arial" w:cs="Arial"/>
          <w:sz w:val="24"/>
          <w:szCs w:val="24"/>
        </w:rPr>
        <w:t xml:space="preserve">Тверской области </w:t>
      </w:r>
      <w:r w:rsidR="009A61A2">
        <w:rPr>
          <w:rFonts w:ascii="Arial" w:hAnsi="Arial" w:cs="Arial"/>
          <w:sz w:val="24"/>
          <w:szCs w:val="24"/>
        </w:rPr>
        <w:t xml:space="preserve"> </w:t>
      </w:r>
      <w:r w:rsidR="00C95FE1" w:rsidRPr="00EC18C4">
        <w:rPr>
          <w:rFonts w:ascii="Arial" w:hAnsi="Arial" w:cs="Arial"/>
          <w:sz w:val="24"/>
          <w:szCs w:val="24"/>
        </w:rPr>
        <w:t xml:space="preserve"> в том числе</w:t>
      </w:r>
      <w:r w:rsidRPr="00EC18C4">
        <w:rPr>
          <w:rFonts w:ascii="Arial" w:hAnsi="Arial" w:cs="Arial"/>
          <w:sz w:val="24"/>
          <w:szCs w:val="24"/>
        </w:rPr>
        <w:t xml:space="preserve"> подведомственных им казенных учреждений</w:t>
      </w:r>
      <w:r w:rsidR="00C95FE1" w:rsidRPr="00EC18C4">
        <w:rPr>
          <w:rFonts w:ascii="Arial" w:hAnsi="Arial" w:cs="Arial"/>
          <w:sz w:val="24"/>
          <w:szCs w:val="24"/>
        </w:rPr>
        <w:t xml:space="preserve"> (далее – органы местного самоуправления)</w:t>
      </w:r>
      <w:r w:rsidRPr="00EC18C4">
        <w:rPr>
          <w:rFonts w:ascii="Arial" w:hAnsi="Arial" w:cs="Arial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органа</w:t>
      </w:r>
      <w:r w:rsidR="008A6D07" w:rsidRPr="00EC18C4">
        <w:rPr>
          <w:rFonts w:ascii="Arial" w:hAnsi="Arial" w:cs="Arial"/>
          <w:sz w:val="24"/>
          <w:szCs w:val="24"/>
        </w:rPr>
        <w:t>ми</w:t>
      </w:r>
      <w:r w:rsidR="00D41285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EC18C4">
          <w:rPr>
            <w:rFonts w:ascii="Arial" w:hAnsi="Arial" w:cs="Arial"/>
            <w:sz w:val="24"/>
            <w:szCs w:val="24"/>
          </w:rPr>
          <w:t>Правилами</w:t>
        </w:r>
      </w:hyperlink>
      <w:r w:rsidRPr="00EC18C4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</w:t>
      </w:r>
      <w:r w:rsidR="00C95FE1" w:rsidRPr="00EC18C4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</w:t>
      </w:r>
      <w:r w:rsidR="00331BF7" w:rsidRPr="00EC18C4">
        <w:rPr>
          <w:rFonts w:ascii="Arial" w:hAnsi="Arial" w:cs="Arial"/>
          <w:sz w:val="24"/>
          <w:szCs w:val="24"/>
        </w:rPr>
        <w:t>(прилагается)</w:t>
      </w:r>
      <w:r w:rsidRPr="00EC18C4">
        <w:rPr>
          <w:rFonts w:ascii="Arial" w:hAnsi="Arial" w:cs="Arial"/>
          <w:sz w:val="24"/>
          <w:szCs w:val="24"/>
        </w:rPr>
        <w:t xml:space="preserve"> (далее - Правила) определяются в порядке, устанавливаемом федеральными государственными органами.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ремонта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учитывают его периодичность, предусмотренную </w:t>
      </w:r>
      <w:r w:rsidR="00596590" w:rsidRPr="00EC18C4">
        <w:rPr>
          <w:rFonts w:ascii="Arial" w:hAnsi="Arial" w:cs="Arial"/>
          <w:sz w:val="24"/>
          <w:szCs w:val="24"/>
        </w:rPr>
        <w:t xml:space="preserve">пункта 51 </w:t>
      </w:r>
      <w:r w:rsidRPr="00EC18C4">
        <w:rPr>
          <w:rFonts w:ascii="Arial" w:hAnsi="Arial" w:cs="Arial"/>
          <w:sz w:val="24"/>
          <w:szCs w:val="24"/>
        </w:rPr>
        <w:t>Правил.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46"/>
      <w:bookmarkEnd w:id="6"/>
      <w:r w:rsidRPr="00EC18C4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C95FE1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C95FE1" w:rsidRPr="00EC18C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A61A2">
        <w:rPr>
          <w:rFonts w:ascii="Arial" w:hAnsi="Arial" w:cs="Arial"/>
          <w:sz w:val="24"/>
          <w:szCs w:val="24"/>
        </w:rPr>
        <w:t xml:space="preserve">Беляницкое сельское поселение Сонковского района </w:t>
      </w:r>
      <w:r w:rsidR="00C95FE1" w:rsidRPr="00EC18C4">
        <w:rPr>
          <w:rFonts w:ascii="Arial" w:hAnsi="Arial" w:cs="Arial"/>
          <w:sz w:val="24"/>
          <w:szCs w:val="24"/>
        </w:rPr>
        <w:t>Тверской области</w:t>
      </w:r>
      <w:r w:rsidR="009A61A2">
        <w:rPr>
          <w:rFonts w:ascii="Arial" w:hAnsi="Arial" w:cs="Arial"/>
          <w:sz w:val="24"/>
          <w:szCs w:val="24"/>
        </w:rPr>
        <w:t>.</w:t>
      </w:r>
      <w:r w:rsidR="00C95FE1" w:rsidRPr="00EC18C4">
        <w:rPr>
          <w:rFonts w:ascii="Arial" w:hAnsi="Arial" w:cs="Arial"/>
          <w:sz w:val="24"/>
          <w:szCs w:val="24"/>
        </w:rPr>
        <w:t xml:space="preserve"> </w:t>
      </w:r>
      <w:r w:rsidR="009A61A2">
        <w:rPr>
          <w:rFonts w:ascii="Arial" w:hAnsi="Arial" w:cs="Arial"/>
          <w:sz w:val="24"/>
          <w:szCs w:val="24"/>
        </w:rPr>
        <w:t xml:space="preserve"> 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При определении нормативных затрат органы </w:t>
      </w:r>
      <w:r w:rsidR="00C95FE1" w:rsidRPr="00EC18C4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EC18C4">
        <w:rPr>
          <w:rFonts w:ascii="Arial" w:hAnsi="Arial" w:cs="Arial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EC18C4">
          <w:rPr>
            <w:rFonts w:ascii="Arial" w:hAnsi="Arial" w:cs="Arial"/>
            <w:sz w:val="24"/>
            <w:szCs w:val="24"/>
          </w:rPr>
          <w:t>абзаца третьего</w:t>
        </w:r>
      </w:hyperlink>
      <w:r w:rsidRPr="00EC18C4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EC18C4">
          <w:rPr>
            <w:rFonts w:ascii="Arial" w:hAnsi="Arial" w:cs="Arial"/>
            <w:sz w:val="24"/>
            <w:szCs w:val="24"/>
          </w:rPr>
          <w:t>разделами I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383" w:history="1">
        <w:r w:rsidRPr="00EC18C4">
          <w:rPr>
            <w:rFonts w:ascii="Arial" w:hAnsi="Arial" w:cs="Arial"/>
            <w:sz w:val="24"/>
            <w:szCs w:val="24"/>
          </w:rPr>
          <w:t>II</w:t>
        </w:r>
      </w:hyperlink>
      <w:r w:rsidRPr="00EC18C4">
        <w:rPr>
          <w:rFonts w:ascii="Arial" w:hAnsi="Arial" w:cs="Arial"/>
          <w:sz w:val="24"/>
          <w:szCs w:val="24"/>
        </w:rPr>
        <w:t xml:space="preserve"> Правил в формулах используются нормативы цены </w:t>
      </w:r>
      <w:r w:rsidR="00331BF7" w:rsidRPr="00EC18C4">
        <w:rPr>
          <w:rFonts w:ascii="Arial" w:hAnsi="Arial" w:cs="Arial"/>
          <w:sz w:val="24"/>
          <w:szCs w:val="24"/>
        </w:rPr>
        <w:t xml:space="preserve">и количества </w:t>
      </w:r>
      <w:r w:rsidRPr="00EC18C4">
        <w:rPr>
          <w:rFonts w:ascii="Arial" w:hAnsi="Arial" w:cs="Arial"/>
          <w:sz w:val="24"/>
          <w:szCs w:val="24"/>
        </w:rPr>
        <w:t xml:space="preserve">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 xml:space="preserve">приложениями </w:t>
        </w:r>
        <w:r w:rsidR="009A61A2">
          <w:rPr>
            <w:rFonts w:ascii="Arial" w:hAnsi="Arial" w:cs="Arial"/>
            <w:sz w:val="24"/>
            <w:szCs w:val="24"/>
          </w:rPr>
          <w:t>№</w:t>
        </w:r>
        <w:r w:rsidRPr="00EC18C4">
          <w:rPr>
            <w:rFonts w:ascii="Arial" w:hAnsi="Arial" w:cs="Arial"/>
            <w:sz w:val="24"/>
            <w:szCs w:val="24"/>
          </w:rPr>
          <w:t>1</w:t>
        </w:r>
      </w:hyperlink>
      <w:r w:rsidRPr="00EC18C4">
        <w:rPr>
          <w:rFonts w:ascii="Arial" w:hAnsi="Arial" w:cs="Arial"/>
          <w:sz w:val="24"/>
          <w:szCs w:val="24"/>
        </w:rPr>
        <w:t xml:space="preserve"> и </w:t>
      </w:r>
      <w:hyperlink w:anchor="Par1026" w:history="1">
        <w:r w:rsidRPr="00EC18C4">
          <w:rPr>
            <w:rFonts w:ascii="Arial" w:hAnsi="Arial" w:cs="Arial"/>
            <w:sz w:val="24"/>
            <w:szCs w:val="24"/>
          </w:rPr>
          <w:t>2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0"/>
      <w:bookmarkEnd w:id="7"/>
      <w:r w:rsidRPr="00EC18C4">
        <w:rPr>
          <w:rFonts w:ascii="Arial" w:hAnsi="Arial" w:cs="Arial"/>
          <w:sz w:val="24"/>
          <w:szCs w:val="24"/>
        </w:rPr>
        <w:t xml:space="preserve">5. </w:t>
      </w:r>
      <w:r w:rsidR="00331BF7" w:rsidRPr="00EC18C4">
        <w:rPr>
          <w:rFonts w:ascii="Arial" w:hAnsi="Arial" w:cs="Arial"/>
          <w:sz w:val="24"/>
          <w:szCs w:val="24"/>
        </w:rPr>
        <w:t>О</w:t>
      </w:r>
      <w:r w:rsidRPr="00EC18C4">
        <w:rPr>
          <w:rFonts w:ascii="Arial" w:hAnsi="Arial" w:cs="Arial"/>
          <w:sz w:val="24"/>
          <w:szCs w:val="24"/>
        </w:rPr>
        <w:t>рганы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, должностных обязанностей его работников) нормативы: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 xml:space="preserve">приложением </w:t>
        </w:r>
        <w:r w:rsidR="009A61A2">
          <w:rPr>
            <w:rFonts w:ascii="Arial" w:hAnsi="Arial" w:cs="Arial"/>
            <w:sz w:val="24"/>
            <w:szCs w:val="24"/>
          </w:rPr>
          <w:t>№</w:t>
        </w:r>
        <w:r w:rsidRPr="00EC18C4">
          <w:rPr>
            <w:rFonts w:ascii="Arial" w:hAnsi="Arial" w:cs="Arial"/>
            <w:sz w:val="24"/>
            <w:szCs w:val="24"/>
          </w:rPr>
          <w:t>1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в) количества SIM-карт;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EC18C4">
          <w:rPr>
            <w:rFonts w:ascii="Arial" w:hAnsi="Arial" w:cs="Arial"/>
            <w:sz w:val="24"/>
            <w:szCs w:val="24"/>
          </w:rPr>
          <w:t xml:space="preserve">приложением </w:t>
        </w:r>
        <w:r w:rsidR="009A61A2">
          <w:rPr>
            <w:rFonts w:ascii="Arial" w:hAnsi="Arial" w:cs="Arial"/>
            <w:sz w:val="24"/>
            <w:szCs w:val="24"/>
          </w:rPr>
          <w:t>№</w:t>
        </w:r>
        <w:r w:rsidRPr="00EC18C4">
          <w:rPr>
            <w:rFonts w:ascii="Arial" w:hAnsi="Arial" w:cs="Arial"/>
            <w:sz w:val="24"/>
            <w:szCs w:val="24"/>
          </w:rPr>
          <w:t xml:space="preserve"> 1</w:t>
        </w:r>
      </w:hyperlink>
      <w:r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lastRenderedPageBreak/>
        <w:t>е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носителей информации;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ж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з</w:t>
      </w:r>
      <w:r w:rsidR="00660C23" w:rsidRPr="00EC18C4">
        <w:rPr>
          <w:rFonts w:ascii="Arial" w:hAnsi="Arial" w:cs="Arial"/>
          <w:sz w:val="24"/>
          <w:szCs w:val="24"/>
        </w:rPr>
        <w:t>) перечня периодических печатных изданий и справочной литературы;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и</w:t>
      </w:r>
      <w:r w:rsidR="00660C23" w:rsidRPr="00EC18C4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660C23" w:rsidRPr="00EC18C4">
          <w:rPr>
            <w:rFonts w:ascii="Arial" w:hAnsi="Arial" w:cs="Arial"/>
            <w:sz w:val="24"/>
            <w:szCs w:val="24"/>
          </w:rPr>
          <w:t xml:space="preserve">приложением </w:t>
        </w:r>
        <w:r w:rsidR="005A4AD5">
          <w:rPr>
            <w:rFonts w:ascii="Arial" w:hAnsi="Arial" w:cs="Arial"/>
            <w:sz w:val="24"/>
            <w:szCs w:val="24"/>
          </w:rPr>
          <w:t>№</w:t>
        </w:r>
        <w:r w:rsidR="00660C23" w:rsidRPr="00EC18C4">
          <w:rPr>
            <w:rFonts w:ascii="Arial" w:hAnsi="Arial" w:cs="Arial"/>
            <w:sz w:val="24"/>
            <w:szCs w:val="24"/>
          </w:rPr>
          <w:t>2</w:t>
        </w:r>
      </w:hyperlink>
      <w:r w:rsidR="00660C23" w:rsidRPr="00EC18C4">
        <w:rPr>
          <w:rFonts w:ascii="Arial" w:hAnsi="Arial" w:cs="Arial"/>
          <w:sz w:val="24"/>
          <w:szCs w:val="24"/>
        </w:rPr>
        <w:t xml:space="preserve"> к Правилам;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к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мебели;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л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м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н</w:t>
      </w:r>
      <w:r w:rsidR="00660C23" w:rsidRPr="00EC18C4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:rsidR="00660C23" w:rsidRPr="00EC18C4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>) иных товаров и услуг.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FF2B1E" w:rsidRPr="00EC18C4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EC18C4">
        <w:rPr>
          <w:rFonts w:ascii="Arial" w:hAnsi="Arial" w:cs="Arial"/>
          <w:sz w:val="24"/>
          <w:szCs w:val="24"/>
        </w:rPr>
        <w:t>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60C23" w:rsidRPr="00EC18C4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О</w:t>
      </w:r>
      <w:r w:rsidR="00660C23" w:rsidRPr="00EC18C4">
        <w:rPr>
          <w:rFonts w:ascii="Arial" w:hAnsi="Arial" w:cs="Arial"/>
          <w:sz w:val="24"/>
          <w:szCs w:val="24"/>
        </w:rPr>
        <w:t xml:space="preserve">рганами </w:t>
      </w:r>
      <w:r w:rsidRPr="00EC18C4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60C23" w:rsidRPr="00EC18C4">
        <w:rPr>
          <w:rFonts w:ascii="Arial" w:hAnsi="Arial" w:cs="Arial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C18C4">
        <w:rPr>
          <w:rFonts w:ascii="Arial" w:hAnsi="Arial" w:cs="Arial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P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</w:rPr>
      </w:pPr>
      <w:bookmarkStart w:id="8" w:name="Par75"/>
      <w:bookmarkEnd w:id="8"/>
      <w:r w:rsidRPr="00EC18C4">
        <w:rPr>
          <w:rFonts w:ascii="Arial" w:hAnsi="Arial" w:cs="Arial"/>
        </w:rPr>
        <w:t>Приложение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к требованиям </w:t>
      </w:r>
      <w:r w:rsidR="006079C1" w:rsidRPr="00EC18C4">
        <w:rPr>
          <w:rFonts w:ascii="Arial" w:hAnsi="Arial" w:cs="Arial"/>
        </w:rPr>
        <w:t>по</w:t>
      </w:r>
      <w:r w:rsidRPr="00EC18C4">
        <w:rPr>
          <w:rFonts w:ascii="Arial" w:hAnsi="Arial" w:cs="Arial"/>
        </w:rPr>
        <w:t xml:space="preserve"> определению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нормативных затрат на обеспечение</w:t>
      </w:r>
    </w:p>
    <w:p w:rsidR="00A44119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функций </w:t>
      </w:r>
      <w:r w:rsidR="00A44119" w:rsidRPr="00EC18C4">
        <w:rPr>
          <w:rFonts w:ascii="Arial" w:hAnsi="Arial" w:cs="Arial"/>
        </w:rPr>
        <w:t xml:space="preserve">органов местного самоуправления </w:t>
      </w:r>
    </w:p>
    <w:p w:rsidR="005A4AD5" w:rsidRDefault="00A4411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 xml:space="preserve">муниципального образования </w:t>
      </w:r>
      <w:r w:rsidR="005A4AD5">
        <w:rPr>
          <w:rFonts w:ascii="Arial" w:hAnsi="Arial" w:cs="Arial"/>
        </w:rPr>
        <w:t xml:space="preserve">Беляницкое </w:t>
      </w:r>
    </w:p>
    <w:p w:rsidR="00A44119" w:rsidRPr="00EC18C4" w:rsidRDefault="005A4AD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Сонковского района </w:t>
      </w:r>
      <w:r w:rsidR="00A44119" w:rsidRPr="00EC18C4">
        <w:rPr>
          <w:rFonts w:ascii="Arial" w:hAnsi="Arial" w:cs="Arial"/>
        </w:rPr>
        <w:t xml:space="preserve">Тверской области </w:t>
      </w:r>
    </w:p>
    <w:p w:rsidR="00660C23" w:rsidRPr="00EC18C4" w:rsidRDefault="005A4AD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C23" w:rsidRPr="00EC18C4">
        <w:rPr>
          <w:rFonts w:ascii="Arial" w:hAnsi="Arial" w:cs="Arial"/>
        </w:rPr>
        <w:t xml:space="preserve"> в том числе </w:t>
      </w:r>
      <w:proofErr w:type="gramStart"/>
      <w:r w:rsidR="00660C23" w:rsidRPr="00EC18C4">
        <w:rPr>
          <w:rFonts w:ascii="Arial" w:hAnsi="Arial" w:cs="Arial"/>
        </w:rPr>
        <w:t>подведомственных</w:t>
      </w:r>
      <w:proofErr w:type="gramEnd"/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EC18C4">
        <w:rPr>
          <w:rFonts w:ascii="Arial" w:hAnsi="Arial" w:cs="Arial"/>
        </w:rPr>
        <w:t>им казенных учреждений</w:t>
      </w:r>
    </w:p>
    <w:p w:rsidR="00660C23" w:rsidRPr="00EC18C4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EC18C4" w:rsidRDefault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9" w:name="Par85"/>
      <w:bookmarkEnd w:id="9"/>
      <w:r w:rsidRPr="00EC18C4">
        <w:rPr>
          <w:rFonts w:ascii="Arial" w:hAnsi="Arial" w:cs="Arial"/>
        </w:rPr>
        <w:t>Правила</w:t>
      </w:r>
    </w:p>
    <w:p w:rsidR="008A6D07" w:rsidRPr="00EC18C4" w:rsidRDefault="008A6D07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EC18C4">
        <w:rPr>
          <w:rFonts w:ascii="Arial" w:hAnsi="Arial" w:cs="Arial"/>
        </w:rPr>
        <w:t xml:space="preserve">определения нормативных затрат на обеспечение функций органов местного самоуправления муниципального образования </w:t>
      </w:r>
      <w:r w:rsidR="005A4AD5">
        <w:rPr>
          <w:rFonts w:ascii="Arial" w:hAnsi="Arial" w:cs="Arial"/>
        </w:rPr>
        <w:t xml:space="preserve">Беляницкое сельское поселение Сонковского района </w:t>
      </w:r>
      <w:r w:rsidRPr="00EC18C4">
        <w:rPr>
          <w:rFonts w:ascii="Arial" w:hAnsi="Arial" w:cs="Arial"/>
        </w:rPr>
        <w:t>Тверской области</w:t>
      </w:r>
      <w:r w:rsidR="005A4AD5">
        <w:rPr>
          <w:rFonts w:ascii="Arial" w:hAnsi="Arial" w:cs="Arial"/>
        </w:rPr>
        <w:t xml:space="preserve">,  </w:t>
      </w:r>
      <w:r w:rsidRPr="00EC18C4">
        <w:rPr>
          <w:rFonts w:ascii="Arial" w:hAnsi="Arial" w:cs="Arial"/>
          <w:bCs/>
        </w:rPr>
        <w:t>в том числе подведомственных им казенных учреждений</w:t>
      </w:r>
    </w:p>
    <w:p w:rsidR="00660C23" w:rsidRPr="002450DF" w:rsidRDefault="00660C23" w:rsidP="008A6D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10" w:name="Par92"/>
      <w:bookmarkEnd w:id="10"/>
      <w:r w:rsidRPr="002450DF">
        <w:rPr>
          <w:rFonts w:ascii="Arial" w:hAnsi="Arial" w:cs="Arial"/>
        </w:rPr>
        <w:t>I. Затраты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1" w:name="Par94"/>
      <w:bookmarkEnd w:id="11"/>
      <w:r w:rsidRPr="002450DF">
        <w:rPr>
          <w:rFonts w:ascii="Arial" w:hAnsi="Arial" w:cs="Arial"/>
        </w:rPr>
        <w:t>Затраты на услуги связи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1. Затраты на абонентскую плату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3147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  <w:sz w:val="24"/>
          <w:szCs w:val="24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7147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572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3815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A44119" w:rsidRPr="002450DF" w:rsidRDefault="00A441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953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505575" cy="485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048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минуты разговора при местных телефонных соединениях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местной телефонной связи по g-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lastRenderedPageBreak/>
        <w:t>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минуты разговора при междугородних телефонных соединениях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минуты разговора при международных телефонных соединениях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3. Затраты на оплату услуг подвижной связи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057400" cy="466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в соответствии с </w:t>
      </w:r>
      <w:hyperlink w:anchor="Par50" w:history="1">
        <w:r w:rsidR="00660C23" w:rsidRPr="002450DF">
          <w:rPr>
            <w:rFonts w:ascii="Arial" w:hAnsi="Arial" w:cs="Arial"/>
          </w:rPr>
          <w:t>пунктом 5</w:t>
        </w:r>
      </w:hyperlink>
      <w:r w:rsidR="00660C23" w:rsidRPr="002450DF">
        <w:rPr>
          <w:rFonts w:ascii="Arial" w:hAnsi="Arial" w:cs="Arial"/>
        </w:rPr>
        <w:t xml:space="preserve"> требований к определению нормативных затрат на обеспечение функций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утвержденных постановлением </w:t>
      </w:r>
      <w:r w:rsidR="00B018D4" w:rsidRPr="002450DF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Беляницкого сельского поселения </w:t>
      </w:r>
      <w:r w:rsidR="00B018D4" w:rsidRPr="002450DF">
        <w:rPr>
          <w:rFonts w:ascii="Arial" w:hAnsi="Arial" w:cs="Arial"/>
        </w:rPr>
        <w:t>Сонковского района Тверской области</w:t>
      </w:r>
      <w:r w:rsidR="00AD4BC6"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>"О порядке определения нормативных затрат на обеспечение функций</w:t>
      </w:r>
      <w:proofErr w:type="gramEnd"/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органов</w:t>
      </w:r>
      <w:r w:rsidR="00B018D4" w:rsidRPr="002450DF">
        <w:rPr>
          <w:rFonts w:ascii="Arial" w:hAnsi="Arial" w:cs="Arial"/>
        </w:rPr>
        <w:t xml:space="preserve"> местного самоуправления муниципального образования </w:t>
      </w:r>
      <w:r>
        <w:rPr>
          <w:rFonts w:ascii="Arial" w:hAnsi="Arial" w:cs="Arial"/>
        </w:rPr>
        <w:t xml:space="preserve">Беляницкое сельское поселение Сонковского района </w:t>
      </w:r>
      <w:r w:rsidR="00B018D4" w:rsidRPr="002450DF">
        <w:rPr>
          <w:rFonts w:ascii="Arial" w:hAnsi="Arial" w:cs="Arial"/>
        </w:rPr>
        <w:t>Тверской области</w:t>
      </w:r>
      <w:r>
        <w:rPr>
          <w:rFonts w:ascii="Arial" w:hAnsi="Arial" w:cs="Arial"/>
        </w:rPr>
        <w:t xml:space="preserve">, </w:t>
      </w:r>
      <w:r w:rsidR="00B018D4" w:rsidRPr="00245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0C23" w:rsidRPr="002450DF">
        <w:rPr>
          <w:rFonts w:ascii="Arial" w:hAnsi="Arial" w:cs="Arial"/>
        </w:rPr>
        <w:t xml:space="preserve">в том числе подведомственных им казенных </w:t>
      </w:r>
      <w:r w:rsidR="00660C23" w:rsidRPr="00EC18C4">
        <w:rPr>
          <w:rFonts w:ascii="Arial" w:hAnsi="Arial" w:cs="Arial"/>
        </w:rPr>
        <w:t xml:space="preserve">учреждений" </w:t>
      </w:r>
      <w:r w:rsidR="00B018D4" w:rsidRPr="00EC18C4">
        <w:rPr>
          <w:rFonts w:ascii="Arial" w:hAnsi="Arial" w:cs="Arial"/>
        </w:rPr>
        <w:t xml:space="preserve">от </w:t>
      </w:r>
      <w:r w:rsidR="002F255E">
        <w:rPr>
          <w:rFonts w:ascii="Arial" w:hAnsi="Arial" w:cs="Arial"/>
        </w:rPr>
        <w:t>25.12.2014 №35</w:t>
      </w:r>
      <w:r w:rsidR="00B018D4" w:rsidRPr="00EC18C4">
        <w:rPr>
          <w:rFonts w:ascii="Arial" w:hAnsi="Arial" w:cs="Arial"/>
        </w:rPr>
        <w:t xml:space="preserve">-па </w:t>
      </w:r>
      <w:r w:rsidR="00660C23" w:rsidRPr="00EC18C4">
        <w:rPr>
          <w:rFonts w:ascii="Arial" w:hAnsi="Arial" w:cs="Arial"/>
        </w:rPr>
        <w:t>(далее</w:t>
      </w:r>
      <w:r w:rsidR="00660C23" w:rsidRPr="002450DF">
        <w:rPr>
          <w:rFonts w:ascii="Arial" w:hAnsi="Arial" w:cs="Arial"/>
        </w:rPr>
        <w:t xml:space="preserve"> - нормативы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), с учетом нормативов обеспечения органов</w:t>
      </w:r>
      <w:r w:rsidR="00707F0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660C23" w:rsidRPr="002450DF">
          <w:rPr>
            <w:rFonts w:ascii="Arial" w:hAnsi="Arial" w:cs="Arial"/>
          </w:rPr>
          <w:t xml:space="preserve">приложением </w:t>
        </w:r>
        <w:r w:rsidR="002F255E">
          <w:rPr>
            <w:rFonts w:ascii="Arial" w:hAnsi="Arial" w:cs="Arial"/>
          </w:rPr>
          <w:t>№</w:t>
        </w:r>
        <w:r w:rsidR="00660C23" w:rsidRPr="002450DF">
          <w:rPr>
            <w:rFonts w:ascii="Arial" w:hAnsi="Arial" w:cs="Arial"/>
          </w:rPr>
          <w:t xml:space="preserve"> 1</w:t>
        </w:r>
      </w:hyperlink>
      <w:r w:rsidR="00660C23" w:rsidRPr="002450DF">
        <w:rPr>
          <w:rFonts w:ascii="Arial" w:hAnsi="Arial" w:cs="Arial"/>
        </w:rPr>
        <w:t xml:space="preserve"> </w:t>
      </w:r>
      <w:r w:rsidR="00B018D4" w:rsidRPr="002450DF">
        <w:rPr>
          <w:rFonts w:ascii="Arial" w:hAnsi="Arial" w:cs="Arial"/>
        </w:rPr>
        <w:t xml:space="preserve">настоящих Правил </w:t>
      </w:r>
      <w:r w:rsidR="00660C23" w:rsidRPr="002450DF">
        <w:rPr>
          <w:rFonts w:ascii="Arial" w:hAnsi="Arial" w:cs="Arial"/>
        </w:rPr>
        <w:t>(далее - нормативы затрат на приобретение средств связи);</w:t>
      </w:r>
      <w:proofErr w:type="gramEnd"/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</w:t>
      </w:r>
      <w:r w:rsidR="00B018D4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предоставления услуги подвижной связи по i-й должности.</w:t>
      </w:r>
    </w:p>
    <w:p w:rsidR="00707F05" w:rsidRPr="002450DF" w:rsidRDefault="00707F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C22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. Затраты на сеть "Интернет" и услуги </w:t>
      </w:r>
      <w:proofErr w:type="spellStart"/>
      <w:r w:rsidR="00660C23" w:rsidRPr="002450DF">
        <w:rPr>
          <w:rFonts w:ascii="Arial" w:hAnsi="Arial" w:cs="Arial"/>
        </w:rPr>
        <w:t>интернет-провайдеров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714500" cy="466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27622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каналов передачи данных сети "Интернет" с i-й пропускной способностью;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месячная цена аренды канала передачи данных сети "Интернет" с i-й пропускной способностью;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95768" w:rsidRPr="002450DF" w:rsidRDefault="004957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. Затраты на оплату иных услуг связи в сфере информационно-коммуникационных технологий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885825" cy="4667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538B9" w:rsidRPr="002450DF" w:rsidRDefault="00A53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A538B9" w:rsidRPr="002450DF" w:rsidRDefault="00A53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2" w:name="Par174"/>
      <w:bookmarkEnd w:id="12"/>
      <w:r w:rsidRPr="002450DF">
        <w:rPr>
          <w:rFonts w:ascii="Arial" w:hAnsi="Arial" w:cs="Arial"/>
        </w:rPr>
        <w:t>Затраты на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</w:t>
      </w:r>
      <w:r w:rsidR="00660C23" w:rsidRPr="002450DF">
        <w:rPr>
          <w:rFonts w:ascii="Arial" w:hAnsi="Arial" w:cs="Arial"/>
        </w:rPr>
        <w:t xml:space="preserve">. При определении затрат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ремонт, указанный в </w:t>
      </w:r>
      <w:hyperlink w:anchor="Par177" w:history="1">
        <w:r w:rsidR="00660C23" w:rsidRPr="002450DF">
          <w:rPr>
            <w:rFonts w:ascii="Arial" w:hAnsi="Arial" w:cs="Arial"/>
          </w:rPr>
          <w:t>пунктах</w:t>
        </w:r>
        <w:r w:rsidR="00B018D4" w:rsidRPr="002450DF">
          <w:rPr>
            <w:rFonts w:ascii="Arial" w:hAnsi="Arial" w:cs="Arial"/>
          </w:rPr>
          <w:t xml:space="preserve"> </w:t>
        </w:r>
        <w:r w:rsidRPr="002450DF">
          <w:rPr>
            <w:rFonts w:ascii="Arial" w:hAnsi="Arial" w:cs="Arial"/>
          </w:rPr>
          <w:t>7</w:t>
        </w:r>
      </w:hyperlink>
      <w:r w:rsidR="00660C23" w:rsidRPr="002450DF">
        <w:rPr>
          <w:rFonts w:ascii="Arial" w:hAnsi="Arial" w:cs="Arial"/>
        </w:rPr>
        <w:t xml:space="preserve"> - </w:t>
      </w:r>
      <w:hyperlink w:anchor="Par216" w:history="1">
        <w:r w:rsidR="00E255FA" w:rsidRPr="002450DF">
          <w:rPr>
            <w:rFonts w:ascii="Arial" w:hAnsi="Arial" w:cs="Arial"/>
          </w:rPr>
          <w:t>9</w:t>
        </w:r>
      </w:hyperlink>
      <w:r w:rsidR="00660C23" w:rsidRPr="002450DF">
        <w:rPr>
          <w:rFonts w:ascii="Arial" w:hAnsi="Arial" w:cs="Arial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C0564" w:rsidRPr="002450DF" w:rsidRDefault="009C05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3" w:name="Par177"/>
      <w:bookmarkEnd w:id="13"/>
      <w:r w:rsidRPr="002450DF">
        <w:rPr>
          <w:rFonts w:ascii="Arial" w:hAnsi="Arial" w:cs="Arial"/>
        </w:rPr>
        <w:t>7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фактическое количество i-х рабочих станций, но не </w:t>
      </w:r>
      <w:proofErr w:type="gramStart"/>
      <w:r w:rsidR="00660C23" w:rsidRPr="002450DF">
        <w:rPr>
          <w:rFonts w:ascii="Arial" w:hAnsi="Arial" w:cs="Arial"/>
        </w:rPr>
        <w:t>более предельного</w:t>
      </w:r>
      <w:proofErr w:type="gramEnd"/>
      <w:r w:rsidR="00660C23" w:rsidRPr="002450DF">
        <w:rPr>
          <w:rFonts w:ascii="Arial" w:hAnsi="Arial" w:cs="Arial"/>
        </w:rPr>
        <w:t xml:space="preserve"> количества i-х рабочих станций;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в расчете на 1 i-ю рабочую станцию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Предельное количество i-х рабочих станций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676275" cy="2667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определяется с округлением до целого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533525" cy="2667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 w:rsidP="005C2241">
      <w:pPr>
        <w:jc w:val="both"/>
        <w:rPr>
          <w:rFonts w:ascii="Arial" w:hAnsi="Arial" w:cs="Arial"/>
        </w:rPr>
      </w:pPr>
      <w:proofErr w:type="gramStart"/>
      <w:r w:rsidRPr="00F84061">
        <w:rPr>
          <w:rFonts w:ascii="Arial" w:hAnsi="Arial" w:cs="Arial"/>
        </w:rPr>
        <w:t xml:space="preserve">где </w:t>
      </w:r>
      <w:r w:rsidR="005A4AD5" w:rsidRPr="00F84061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61B4227" wp14:editId="7EC59D9E">
            <wp:extent cx="276225" cy="2571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061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46" w:history="1">
        <w:r w:rsidRPr="00F84061">
          <w:rPr>
            <w:rFonts w:ascii="Arial" w:hAnsi="Arial" w:cs="Arial"/>
          </w:rPr>
          <w:t xml:space="preserve">пунктами </w:t>
        </w:r>
        <w:r w:rsidR="0008308F" w:rsidRPr="00F84061">
          <w:rPr>
            <w:rFonts w:ascii="Arial" w:hAnsi="Arial" w:cs="Arial"/>
          </w:rPr>
          <w:t>13</w:t>
        </w:r>
      </w:hyperlink>
      <w:r w:rsidRPr="00F84061">
        <w:rPr>
          <w:rFonts w:ascii="Arial" w:hAnsi="Arial" w:cs="Arial"/>
        </w:rPr>
        <w:t xml:space="preserve"> - </w:t>
      </w:r>
      <w:hyperlink r:id="rId47" w:history="1">
        <w:r w:rsidR="0008308F" w:rsidRPr="00F84061">
          <w:rPr>
            <w:rFonts w:ascii="Arial" w:hAnsi="Arial" w:cs="Arial"/>
          </w:rPr>
          <w:t>15</w:t>
        </w:r>
      </w:hyperlink>
      <w:r w:rsidRPr="00F84061">
        <w:rPr>
          <w:rFonts w:ascii="Arial" w:hAnsi="Arial" w:cs="Arial"/>
        </w:rPr>
        <w:t xml:space="preserve"> общих требований к определению нормативных затрат на обеспечение функций  органов</w:t>
      </w:r>
      <w:r w:rsidR="005C2241" w:rsidRPr="00F84061">
        <w:rPr>
          <w:rFonts w:ascii="Arial" w:hAnsi="Arial" w:cs="Arial"/>
        </w:rPr>
        <w:t xml:space="preserve"> местного самоуправления</w:t>
      </w:r>
      <w:r w:rsidRPr="00F84061">
        <w:rPr>
          <w:rFonts w:ascii="Arial" w:hAnsi="Arial" w:cs="Arial"/>
        </w:rPr>
        <w:t xml:space="preserve">, утвержденных постановлением </w:t>
      </w:r>
      <w:r w:rsidR="00F84061">
        <w:rPr>
          <w:rFonts w:ascii="Arial" w:hAnsi="Arial" w:cs="Arial"/>
        </w:rPr>
        <w:t xml:space="preserve"> </w:t>
      </w:r>
      <w:r w:rsidRPr="00F84061">
        <w:rPr>
          <w:rFonts w:ascii="Arial" w:hAnsi="Arial" w:cs="Arial"/>
        </w:rPr>
        <w:t xml:space="preserve"> </w:t>
      </w:r>
      <w:r w:rsidR="005C2241" w:rsidRPr="00F84061">
        <w:rPr>
          <w:rFonts w:ascii="Arial" w:hAnsi="Arial" w:cs="Arial"/>
        </w:rPr>
        <w:t>администрации</w:t>
      </w:r>
      <w:r w:rsidR="00F84061">
        <w:rPr>
          <w:rFonts w:ascii="Arial" w:hAnsi="Arial" w:cs="Arial"/>
        </w:rPr>
        <w:t xml:space="preserve"> Беляницкого сельского поселения </w:t>
      </w:r>
      <w:r w:rsidR="005C2241" w:rsidRPr="00F84061">
        <w:rPr>
          <w:rFonts w:ascii="Arial" w:hAnsi="Arial" w:cs="Arial"/>
        </w:rPr>
        <w:t xml:space="preserve"> Сонковского района </w:t>
      </w:r>
      <w:r w:rsidRPr="00F84061">
        <w:rPr>
          <w:rFonts w:ascii="Arial" w:hAnsi="Arial" w:cs="Arial"/>
        </w:rPr>
        <w:t xml:space="preserve">от </w:t>
      </w:r>
      <w:r w:rsidR="00F84061">
        <w:rPr>
          <w:rFonts w:ascii="Arial" w:hAnsi="Arial" w:cs="Arial"/>
        </w:rPr>
        <w:t xml:space="preserve">25 декабря 2014 г. №35-па </w:t>
      </w:r>
      <w:r w:rsidRPr="00F84061">
        <w:rPr>
          <w:rFonts w:ascii="Arial" w:hAnsi="Arial" w:cs="Arial"/>
        </w:rPr>
        <w:t>"</w:t>
      </w:r>
      <w:r w:rsidR="005C2241" w:rsidRPr="00F84061">
        <w:rPr>
          <w:rFonts w:ascii="Arial" w:hAnsi="Arial" w:cs="Arial"/>
          <w:sz w:val="24"/>
          <w:szCs w:val="24"/>
        </w:rPr>
        <w:t xml:space="preserve"> </w:t>
      </w:r>
      <w:r w:rsidR="005C2241" w:rsidRPr="00F84061">
        <w:rPr>
          <w:rFonts w:ascii="Arial" w:hAnsi="Arial" w:cs="Arial"/>
        </w:rPr>
        <w:t xml:space="preserve">Об утверждении общих требований к определению нормативных затрат на обеспечение функций органов местного самоуправления </w:t>
      </w:r>
      <w:r w:rsidRPr="00F84061">
        <w:rPr>
          <w:rFonts w:ascii="Arial" w:hAnsi="Arial" w:cs="Arial"/>
        </w:rPr>
        <w:t>" (далее - общие требования к определению нормативных затрат).</w:t>
      </w:r>
      <w:proofErr w:type="gramEnd"/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>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единиц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единицы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в год.</w:t>
      </w: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A5E15" w:rsidRPr="002450DF" w:rsidRDefault="009A5E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4" w:name="Par216"/>
      <w:bookmarkEnd w:id="14"/>
      <w:r w:rsidRPr="002450DF">
        <w:rPr>
          <w:rFonts w:ascii="Arial" w:hAnsi="Arial" w:cs="Arial"/>
        </w:rPr>
        <w:t>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6210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5" w:name="Par224"/>
      <w:bookmarkEnd w:id="15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аренду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и содержание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17157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1</w:t>
      </w:r>
      <w:r w:rsidRPr="002450DF">
        <w:rPr>
          <w:rFonts w:ascii="Arial" w:hAnsi="Arial" w:cs="Arial"/>
        </w:rPr>
        <w:t>. Затраты на оплату услуг по сопровождению справочно-правовых систем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>
            <wp:extent cx="1057275" cy="4667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где 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2</w:t>
      </w:r>
      <w:r w:rsidRPr="002450DF">
        <w:rPr>
          <w:rFonts w:ascii="Arial" w:hAnsi="Arial" w:cs="Arial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>
            <wp:extent cx="1743075" cy="4953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сопровождения g-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иного программного обеспечения;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</w:t>
      </w:r>
      <w:r w:rsidR="00E255FA" w:rsidRPr="002450DF">
        <w:rPr>
          <w:rFonts w:ascii="Arial" w:hAnsi="Arial" w:cs="Arial"/>
        </w:rPr>
        <w:t>3</w:t>
      </w:r>
      <w:r w:rsidR="00660C23" w:rsidRPr="002450DF">
        <w:rPr>
          <w:rFonts w:ascii="Arial" w:hAnsi="Arial" w:cs="Arial"/>
        </w:rPr>
        <w:t>. Затраты на оплату услуг, связанных с обеспечением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057275" cy="2571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14</w:t>
      </w:r>
      <w:r w:rsidR="00660C23" w:rsidRPr="002450DF">
        <w:rPr>
          <w:rFonts w:ascii="Arial" w:hAnsi="Arial" w:cs="Arial"/>
        </w:rPr>
        <w:t>. Затраты на проведение аттестационных, проверочных и контрольных мероприятий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>
            <wp:extent cx="2486025" cy="4953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аттестуемых i-х объектов (помещений);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проведения аттестации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объекта (помещения);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единиц j-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(устройств), требующих проверки;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проведения проверки 1 единицы j-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(устройства).</w:t>
      </w: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15</w:t>
      </w:r>
      <w:r w:rsidR="00660C23" w:rsidRPr="002450DF">
        <w:rPr>
          <w:rFonts w:ascii="Arial" w:hAnsi="Arial" w:cs="Arial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400175" cy="4667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программного обеспечения по защите информации;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единицы простой (неисключительной) лицензии на использование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программного обеспечения по защите информации.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16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257300" cy="4667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1 единицы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6" w:name="Par279"/>
      <w:bookmarkEnd w:id="16"/>
      <w:r w:rsidRPr="002450DF">
        <w:rPr>
          <w:rFonts w:ascii="Arial" w:hAnsi="Arial" w:cs="Arial"/>
        </w:rPr>
        <w:t>Затраты на приобретение основных средств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17</w:t>
      </w:r>
      <w:r w:rsidR="00660C23" w:rsidRPr="002450DF">
        <w:rPr>
          <w:rFonts w:ascii="Arial" w:hAnsi="Arial" w:cs="Arial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771775" cy="4667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60007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561975" cy="2667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фактическое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типа принтера, многофункционального устройства и копировального аппарата (оргтехники);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966F56" w:rsidRPr="002450DF" w:rsidRDefault="00966F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7" w:name="Par302"/>
      <w:bookmarkEnd w:id="17"/>
      <w:r w:rsidRPr="002450DF">
        <w:rPr>
          <w:rFonts w:ascii="Arial" w:hAnsi="Arial" w:cs="Arial"/>
        </w:rPr>
        <w:t>18</w:t>
      </w:r>
      <w:r w:rsidR="00660C23" w:rsidRPr="002450DF">
        <w:rPr>
          <w:rFonts w:ascii="Arial" w:hAnsi="Arial" w:cs="Arial"/>
        </w:rPr>
        <w:t>. Затраты на приобретение средств подвижной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790700" cy="4667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средств подвижной связи по i-й </w:t>
      </w:r>
      <w:r w:rsidR="00660C23" w:rsidRPr="002450DF">
        <w:rPr>
          <w:rFonts w:ascii="Arial" w:hAnsi="Arial" w:cs="Arial"/>
        </w:rPr>
        <w:lastRenderedPageBreak/>
        <w:t>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стоимость 1 средства подвижной связи для i-й должности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, определенными с учетом нормативов затрат на приобретение сре</w:t>
      </w:r>
      <w:proofErr w:type="gramStart"/>
      <w:r w:rsidR="00660C23" w:rsidRPr="002450DF">
        <w:rPr>
          <w:rFonts w:ascii="Arial" w:hAnsi="Arial" w:cs="Arial"/>
        </w:rPr>
        <w:t>дств св</w:t>
      </w:r>
      <w:proofErr w:type="gramEnd"/>
      <w:r w:rsidR="00660C23" w:rsidRPr="002450DF">
        <w:rPr>
          <w:rFonts w:ascii="Arial" w:hAnsi="Arial" w:cs="Arial"/>
        </w:rPr>
        <w:t>язи.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8" w:name="Par309"/>
      <w:bookmarkEnd w:id="18"/>
      <w:r w:rsidRPr="002450DF">
        <w:rPr>
          <w:rFonts w:ascii="Arial" w:hAnsi="Arial" w:cs="Arial"/>
        </w:rPr>
        <w:t>19</w:t>
      </w:r>
      <w:r w:rsidR="00660C23" w:rsidRPr="002450DF">
        <w:rPr>
          <w:rFonts w:ascii="Arial" w:hAnsi="Arial" w:cs="Arial"/>
        </w:rPr>
        <w:t>. Затраты на приобретение оборудования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685925" cy="4667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28625" cy="2571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приобретаемого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 по обеспечению безопасности информации.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19" w:name="Par323"/>
      <w:bookmarkEnd w:id="19"/>
      <w:r w:rsidRPr="002450DF">
        <w:rPr>
          <w:rFonts w:ascii="Arial" w:hAnsi="Arial" w:cs="Arial"/>
        </w:rPr>
        <w:t>Затраты на приобретение материальных запасов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</w:t>
      </w:r>
      <w:r w:rsidR="001F12A5" w:rsidRPr="002450DF">
        <w:rPr>
          <w:rFonts w:ascii="Arial" w:hAnsi="Arial" w:cs="Arial"/>
        </w:rPr>
        <w:t>0</w:t>
      </w:r>
      <w:r w:rsidRPr="002450DF">
        <w:rPr>
          <w:rFonts w:ascii="Arial" w:hAnsi="Arial" w:cs="Arial"/>
        </w:rPr>
        <w:t>. Затраты на приобретение мониторов</w:t>
      </w:r>
      <w:proofErr w:type="gramStart"/>
      <w:r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 xml:space="preserve">) </w:t>
      </w:r>
      <w:proofErr w:type="gramEnd"/>
      <w:r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62100" cy="4667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мониторов для i-й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одного монитора для i-й должности.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21</w:t>
      </w:r>
      <w:r w:rsidR="00660C23" w:rsidRPr="002450DF">
        <w:rPr>
          <w:rFonts w:ascii="Arial" w:hAnsi="Arial" w:cs="Arial"/>
        </w:rPr>
        <w:t>. Затраты на приобретение системных блоков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71600" cy="4667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системных блоков;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одного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системного блока.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22</w:t>
      </w:r>
      <w:r w:rsidR="00660C23" w:rsidRPr="002450DF">
        <w:rPr>
          <w:rFonts w:ascii="Arial" w:hAnsi="Arial" w:cs="Arial"/>
        </w:rPr>
        <w:t>. Затраты на приобретение других запасных частей для вычислительной техники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 xml:space="preserve">- планируемое к приобретению количество i-х запасных частей для вычислительной </w:t>
      </w:r>
      <w:r w:rsidR="00660C23" w:rsidRPr="002450DF">
        <w:rPr>
          <w:rFonts w:ascii="Arial" w:hAnsi="Arial" w:cs="Arial"/>
        </w:rPr>
        <w:lastRenderedPageBreak/>
        <w:t>техники, которое определяется по средним фактическим данным за 3 предыдущих финансовых года;</w:t>
      </w:r>
      <w:proofErr w:type="gramEnd"/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единицы i-й запасной части для вычислительной техники.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23</w:t>
      </w:r>
      <w:r w:rsidR="00660C23" w:rsidRPr="002450DF">
        <w:rPr>
          <w:rFonts w:ascii="Arial" w:hAnsi="Arial" w:cs="Arial"/>
        </w:rPr>
        <w:t>. Затраты на приобретение магнитных и оптических носителей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419225" cy="4667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носителя информации в соответствии с нормативами федеральных государственных органов;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единицы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носителя информации в соответствии с нормативами федеральных государственных органов.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24</w:t>
      </w:r>
      <w:r w:rsidR="00660C23" w:rsidRPr="002450DF">
        <w:rPr>
          <w:rFonts w:ascii="Arial" w:hAnsi="Arial" w:cs="Arial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057275" cy="2667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57175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F12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25</w:t>
      </w:r>
      <w:r w:rsidR="00660C23" w:rsidRPr="002450DF">
        <w:rPr>
          <w:rFonts w:ascii="Arial" w:hAnsi="Arial" w:cs="Arial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57175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971675" cy="4667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типа в соответствии с нормативами федеральных государственных органов;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расходного материала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</w:t>
      </w:r>
      <w:r w:rsidR="001F12A5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8F2C8A" w:rsidRPr="002450DF" w:rsidRDefault="008F2C8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26</w:t>
      </w:r>
      <w:r w:rsidR="00660C23" w:rsidRPr="002450DF">
        <w:rPr>
          <w:rFonts w:ascii="Arial" w:hAnsi="Arial" w:cs="Arial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>
            <wp:extent cx="1343025" cy="4667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единицы i-й запасной части.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27</w:t>
      </w:r>
      <w:r w:rsidR="00660C23" w:rsidRPr="002450DF">
        <w:rPr>
          <w:rFonts w:ascii="Arial" w:hAnsi="Arial" w:cs="Arial"/>
        </w:rPr>
        <w:t>. Затраты на приобретение материальных запасов по обеспечению безопасности информации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90675" cy="4667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материального запаса;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единицы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материального запаса.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20" w:name="Par383"/>
      <w:bookmarkEnd w:id="20"/>
      <w:r w:rsidRPr="002450DF">
        <w:rPr>
          <w:rFonts w:ascii="Arial" w:hAnsi="Arial" w:cs="Arial"/>
        </w:rPr>
        <w:t>II. Прочие затраты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1" w:name="Par385"/>
      <w:bookmarkEnd w:id="21"/>
      <w:r w:rsidRPr="002450DF">
        <w:rPr>
          <w:rFonts w:ascii="Arial" w:hAnsi="Arial" w:cs="Arial"/>
        </w:rPr>
        <w:t>Затраты на услуги связи,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услуги связи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28</w:t>
      </w:r>
      <w:r w:rsidR="00660C23" w:rsidRPr="002450DF">
        <w:rPr>
          <w:rFonts w:ascii="Arial" w:hAnsi="Arial" w:cs="Arial"/>
        </w:rPr>
        <w:t>. Затраты на услуги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0"/>
          <w:lang w:eastAsia="ru-RU"/>
        </w:rPr>
        <w:drawing>
          <wp:inline distT="0" distB="0" distL="0" distR="0">
            <wp:extent cx="276225" cy="2762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  <w:lang w:eastAsia="ru-RU"/>
        </w:rPr>
        <w:drawing>
          <wp:inline distT="0" distB="0" distL="0" distR="0">
            <wp:extent cx="990600" cy="2762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почтовой связи;</w:t>
      </w:r>
    </w:p>
    <w:p w:rsidR="00123751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специальной связи.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29</w:t>
      </w:r>
      <w:r w:rsidR="00660C23" w:rsidRPr="002450DF">
        <w:rPr>
          <w:rFonts w:ascii="Arial" w:hAnsi="Arial" w:cs="Arial"/>
        </w:rPr>
        <w:t>. Затраты на оплату услуг почтовой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257300" cy="4667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i-х почтовых отправлений в год;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почтового отправления.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30</w:t>
      </w:r>
      <w:r w:rsidR="00660C23" w:rsidRPr="002450DF">
        <w:rPr>
          <w:rFonts w:ascii="Arial" w:hAnsi="Arial" w:cs="Arial"/>
        </w:rPr>
        <w:t>. Затраты на оплату услуг специальной связи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066800" cy="2571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листов (пакетов) исходящей информации в год;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238125" cy="2571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2" w:name="Par411"/>
      <w:bookmarkEnd w:id="22"/>
      <w:r w:rsidRPr="002450DF">
        <w:rPr>
          <w:rFonts w:ascii="Arial" w:hAnsi="Arial" w:cs="Arial"/>
        </w:rPr>
        <w:t>Затраты на транспортные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31</w:t>
      </w:r>
      <w:r w:rsidR="00660C23" w:rsidRPr="002450DF">
        <w:rPr>
          <w:rFonts w:ascii="Arial" w:hAnsi="Arial" w:cs="Arial"/>
        </w:rPr>
        <w:t>. Затраты по договору об оказании услуг перевозки (транспортировки) грузов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81125" cy="4667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услуг перевозки (транспортировки) грузов;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32</w:t>
      </w:r>
      <w:r w:rsidR="00660C23" w:rsidRPr="002450DF">
        <w:rPr>
          <w:rFonts w:ascii="Arial" w:hAnsi="Arial" w:cs="Arial"/>
        </w:rPr>
        <w:t>. Затраты на оплату услуг аренды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047875" cy="4667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 w:rsidR="00165E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660C23" w:rsidRPr="002450DF">
          <w:rPr>
            <w:rFonts w:ascii="Arial" w:hAnsi="Arial" w:cs="Arial"/>
          </w:rPr>
          <w:t xml:space="preserve">приложением </w:t>
        </w:r>
        <w:r w:rsidR="002F255E">
          <w:rPr>
            <w:rFonts w:ascii="Arial" w:hAnsi="Arial" w:cs="Arial"/>
          </w:rPr>
          <w:t>№</w:t>
        </w:r>
        <w:r w:rsidR="00660C23" w:rsidRPr="002450DF">
          <w:rPr>
            <w:rFonts w:ascii="Arial" w:hAnsi="Arial" w:cs="Arial"/>
          </w:rPr>
          <w:t xml:space="preserve"> 2</w:t>
        </w:r>
      </w:hyperlink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 в месяц;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33</w:t>
      </w:r>
      <w:r w:rsidR="00660C23" w:rsidRPr="002450DF">
        <w:rPr>
          <w:rFonts w:ascii="Arial" w:hAnsi="Arial" w:cs="Arial"/>
        </w:rPr>
        <w:t>. Затраты на оплату разовых услуг пассажирских перевозок при проведении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762125" cy="4667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к приобретению i-х разовых услуг пассажирских перевозок;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среднее количество часов аренды транспортного средства по i-й разовой услуге;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часа аренды транспортного средства по i-й разовой услуге.</w:t>
      </w:r>
    </w:p>
    <w:p w:rsidR="00FA6B87" w:rsidRPr="002450DF" w:rsidRDefault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34</w:t>
      </w:r>
      <w:r w:rsidR="00660C23" w:rsidRPr="002450DF">
        <w:rPr>
          <w:rFonts w:ascii="Arial" w:hAnsi="Arial" w:cs="Arial"/>
        </w:rPr>
        <w:t>. Затраты на оплату проезда работника к месту нахождения учебного заведения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828800" cy="4667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работников, имеющих право на компенсацию расходов,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проезда к месту нахождения учебного заведения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3" w:name="Par444"/>
      <w:bookmarkEnd w:id="23"/>
    </w:p>
    <w:p w:rsidR="00121514" w:rsidRPr="002450DF" w:rsidRDefault="0012151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r w:rsidRPr="002450DF">
        <w:rPr>
          <w:rFonts w:ascii="Arial" w:hAnsi="Arial" w:cs="Arial"/>
        </w:rPr>
        <w:t>Затраты на оплату расходов по договорам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об оказании услуг, связанных с проездом и наймом </w:t>
      </w:r>
      <w:proofErr w:type="gramStart"/>
      <w:r w:rsidRPr="002450DF">
        <w:rPr>
          <w:rFonts w:ascii="Arial" w:hAnsi="Arial" w:cs="Arial"/>
        </w:rPr>
        <w:t>жилого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помещения в связи с командированием работников,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заключаемым</w:t>
      </w:r>
      <w:proofErr w:type="gramEnd"/>
      <w:r w:rsidRPr="002450DF">
        <w:rPr>
          <w:rFonts w:ascii="Arial" w:hAnsi="Arial" w:cs="Arial"/>
        </w:rPr>
        <w:t xml:space="preserve"> со сторонними организациями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35</w:t>
      </w:r>
      <w:r w:rsidR="00660C23" w:rsidRPr="002450DF">
        <w:rPr>
          <w:rFonts w:ascii="Arial" w:hAnsi="Arial" w:cs="Arial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285875" cy="2667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по договору на </w:t>
      </w:r>
      <w:proofErr w:type="spellStart"/>
      <w:r w:rsidR="00660C23" w:rsidRPr="002450DF">
        <w:rPr>
          <w:rFonts w:ascii="Arial" w:hAnsi="Arial" w:cs="Arial"/>
        </w:rPr>
        <w:t>найм</w:t>
      </w:r>
      <w:proofErr w:type="spellEnd"/>
      <w:r w:rsidR="00660C23" w:rsidRPr="002450DF">
        <w:rPr>
          <w:rFonts w:ascii="Arial" w:hAnsi="Arial" w:cs="Arial"/>
        </w:rPr>
        <w:t xml:space="preserve"> жилого помещения на период командирования.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36</w:t>
      </w:r>
      <w:r w:rsidR="00660C23" w:rsidRPr="002450DF">
        <w:rPr>
          <w:rFonts w:ascii="Arial" w:hAnsi="Arial" w:cs="Arial"/>
        </w:rPr>
        <w:t>. Затраты по договору на проезд к месту командирования и обратно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247900" cy="4667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504825" cy="2667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цена проезда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2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3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660C23" w:rsidRPr="002450DF">
        <w:rPr>
          <w:rFonts w:ascii="Arial" w:hAnsi="Arial" w:cs="Arial"/>
        </w:rPr>
        <w:t xml:space="preserve"> "О порядке и условиях командирования федеральных государственных гражданских служащих".</w:t>
      </w:r>
    </w:p>
    <w:p w:rsidR="00660C23" w:rsidRPr="002450DF" w:rsidRDefault="00165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37</w:t>
      </w:r>
      <w:r w:rsidR="00660C23" w:rsidRPr="002450DF">
        <w:rPr>
          <w:rFonts w:ascii="Arial" w:hAnsi="Arial" w:cs="Arial"/>
        </w:rPr>
        <w:t xml:space="preserve">. Затраты по договору на </w:t>
      </w:r>
      <w:proofErr w:type="spellStart"/>
      <w:r w:rsidR="00660C23" w:rsidRPr="002450DF">
        <w:rPr>
          <w:rFonts w:ascii="Arial" w:hAnsi="Arial" w:cs="Arial"/>
        </w:rPr>
        <w:t>найм</w:t>
      </w:r>
      <w:proofErr w:type="spellEnd"/>
      <w:r w:rsidR="00660C23" w:rsidRPr="002450DF">
        <w:rPr>
          <w:rFonts w:ascii="Arial" w:hAnsi="Arial" w:cs="Arial"/>
        </w:rPr>
        <w:t xml:space="preserve"> жилого помещения на период командирования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333625" cy="4667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2862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381000" cy="25717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</w:t>
      </w:r>
      <w:proofErr w:type="gramStart"/>
      <w:r w:rsidR="00660C23" w:rsidRPr="002450DF">
        <w:rPr>
          <w:rFonts w:ascii="Arial" w:hAnsi="Arial" w:cs="Arial"/>
        </w:rPr>
        <w:t>- цена найма жилого помещения в сутки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 с учетом требований </w:t>
      </w:r>
      <w:hyperlink r:id="rId167" w:history="1">
        <w:r w:rsidR="00660C23" w:rsidRPr="002450DF">
          <w:rPr>
            <w:rFonts w:ascii="Arial" w:hAnsi="Arial" w:cs="Arial"/>
          </w:rPr>
          <w:t>постановления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168" w:history="1">
        <w:r w:rsidR="00660C23" w:rsidRPr="002450DF">
          <w:rPr>
            <w:rFonts w:ascii="Arial" w:hAnsi="Arial" w:cs="Arial"/>
          </w:rPr>
          <w:t>порядка и условий</w:t>
        </w:r>
      </w:hyperlink>
      <w:r w:rsidR="00660C23" w:rsidRPr="002450DF">
        <w:rPr>
          <w:rFonts w:ascii="Arial" w:hAnsi="Arial" w:cs="Arial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660C23" w:rsidRPr="002450DF">
        <w:rPr>
          <w:rFonts w:ascii="Arial" w:hAnsi="Arial" w:cs="Arial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57200" cy="25717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суток нахождения в командировке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направлению командирования.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4" w:name="Par472"/>
      <w:bookmarkEnd w:id="24"/>
      <w:r w:rsidRPr="002450DF">
        <w:rPr>
          <w:rFonts w:ascii="Arial" w:hAnsi="Arial" w:cs="Arial"/>
        </w:rPr>
        <w:t>Затраты на коммунальные услуги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38</w:t>
      </w:r>
      <w:r w:rsidR="00660C23" w:rsidRPr="002450DF">
        <w:rPr>
          <w:rFonts w:ascii="Arial" w:hAnsi="Arial" w:cs="Arial"/>
        </w:rPr>
        <w:t xml:space="preserve"> Затраты на коммунальные услуги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,</w:t>
      </w:r>
    </w:p>
    <w:p w:rsidR="00165E72" w:rsidRPr="002450DF" w:rsidRDefault="00724F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1905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E72"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газоснабжение и иные виды топлива;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электроснабжение;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теплоснабжение;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39</w:t>
      </w:r>
      <w:r w:rsidR="00660C23" w:rsidRPr="002450DF">
        <w:rPr>
          <w:rFonts w:ascii="Arial" w:hAnsi="Arial" w:cs="Arial"/>
        </w:rPr>
        <w:t>. Затраты на газоснабжение и иные виды топлива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838325" cy="4667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поправочный коэффициент, учитывающий затраты на транспортировку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вида топлива.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40</w:t>
      </w:r>
      <w:r w:rsidR="00660C23" w:rsidRPr="002450DF">
        <w:rPr>
          <w:rFonts w:ascii="Arial" w:hAnsi="Arial" w:cs="Arial"/>
        </w:rPr>
        <w:t>. Затраты на электроснабжение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43025" cy="4667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i-й регулируемый тариф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314325" cy="2571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потребность электроэнергии в год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="00660C23" w:rsidRPr="002450DF">
        <w:rPr>
          <w:rFonts w:ascii="Arial" w:hAnsi="Arial" w:cs="Arial"/>
        </w:rPr>
        <w:t>одноставочного</w:t>
      </w:r>
      <w:proofErr w:type="spellEnd"/>
      <w:r w:rsidR="00660C23" w:rsidRPr="002450DF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="00660C23" w:rsidRPr="002450DF">
        <w:rPr>
          <w:rFonts w:ascii="Arial" w:hAnsi="Arial" w:cs="Arial"/>
        </w:rPr>
        <w:t>двуставочного</w:t>
      </w:r>
      <w:proofErr w:type="spellEnd"/>
      <w:r w:rsidR="00660C23" w:rsidRPr="002450DF">
        <w:rPr>
          <w:rFonts w:ascii="Arial" w:hAnsi="Arial" w:cs="Arial"/>
        </w:rPr>
        <w:t xml:space="preserve"> тарифа).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41</w:t>
      </w:r>
      <w:r w:rsidR="00660C23" w:rsidRPr="002450DF">
        <w:rPr>
          <w:rFonts w:ascii="Arial" w:hAnsi="Arial" w:cs="Arial"/>
        </w:rPr>
        <w:t>. Затраты на теплоснабжение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190625" cy="2571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потребность в </w:t>
      </w:r>
      <w:proofErr w:type="spellStart"/>
      <w:r w:rsidR="00660C23" w:rsidRPr="002450DF">
        <w:rPr>
          <w:rFonts w:ascii="Arial" w:hAnsi="Arial" w:cs="Arial"/>
        </w:rPr>
        <w:t>теплоэнергии</w:t>
      </w:r>
      <w:proofErr w:type="spellEnd"/>
      <w:r w:rsidR="00660C23" w:rsidRPr="002450DF">
        <w:rPr>
          <w:rFonts w:ascii="Arial" w:hAnsi="Arial" w:cs="Arial"/>
        </w:rPr>
        <w:t xml:space="preserve"> на отопление зданий, помещений и сооружений;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регулируемый тариф на теплоснабжение.</w:t>
      </w:r>
    </w:p>
    <w:p w:rsidR="00660C23" w:rsidRPr="002450DF" w:rsidRDefault="00724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42</w:t>
      </w:r>
      <w:r w:rsidR="00660C23" w:rsidRPr="002450DF">
        <w:rPr>
          <w:rFonts w:ascii="Arial" w:hAnsi="Arial" w:cs="Arial"/>
        </w:rPr>
        <w:t>. Затраты на холодное водоснабжение и водоотведение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990725" cy="2571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регулируемый тариф на холодное водоснабжение;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потребность в водоотведении;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регулируемый тариф на водоотведение.</w:t>
      </w:r>
    </w:p>
    <w:p w:rsidR="00660C23" w:rsidRPr="002450DF" w:rsidRDefault="00E255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43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667000" cy="4667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57200" cy="2571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по i-й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по i-й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5" w:name="Par534"/>
      <w:bookmarkEnd w:id="25"/>
      <w:r w:rsidRPr="002450DF">
        <w:rPr>
          <w:rFonts w:ascii="Arial" w:hAnsi="Arial" w:cs="Arial"/>
        </w:rPr>
        <w:t>Затраты на аренду помещений и оборудования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4. Затраты на аренду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209800" cy="4667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численность работников, размещаемых на i-й арендуемой площади;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lastRenderedPageBreak/>
        <w:t xml:space="preserve">S - площадь, установленная в соответствии с </w:t>
      </w:r>
      <w:hyperlink r:id="rId202" w:history="1">
        <w:r w:rsidRPr="002450DF">
          <w:rPr>
            <w:rFonts w:ascii="Arial" w:hAnsi="Arial" w:cs="Arial"/>
          </w:rPr>
          <w:t>постановлением</w:t>
        </w:r>
      </w:hyperlink>
      <w:r w:rsidRPr="002450DF">
        <w:rPr>
          <w:rFonts w:ascii="Arial" w:hAnsi="Arial" w:cs="Arial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2450DF">
        <w:rPr>
          <w:rFonts w:ascii="Arial" w:hAnsi="Arial" w:cs="Arial"/>
        </w:rPr>
        <w:t>использования</w:t>
      </w:r>
      <w:proofErr w:type="gramEnd"/>
      <w:r w:rsidRPr="002450DF">
        <w:rPr>
          <w:rFonts w:ascii="Arial" w:hAnsi="Arial" w:cs="Arial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ежемесячной аренды за 1 кв. метр i-й арендуемой площади;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аренды i-й арендуемой площади.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5. Затраты на аренду помещения (зала)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476375" cy="4667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суток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помещения (зала);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помещения (зала) в сутки.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6. Затраты на аренду оборудования для проведения совещания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390775" cy="4667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арендуемого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дней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часов аренды в день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часа аренды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26" w:name="Par562"/>
      <w:bookmarkEnd w:id="26"/>
      <w:r w:rsidRPr="002450DF">
        <w:rPr>
          <w:rFonts w:ascii="Arial" w:hAnsi="Arial" w:cs="Arial"/>
        </w:rPr>
        <w:t>Затраты на содержание имущества,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отнесенные к затратам на содержание имущества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7. Затраты на содержание и техническое обслуживание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 xml:space="preserve">                                   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1905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1905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содержание прилегающей территории;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вывоз твердых бытовых отходов;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 индивидуального теплового пункта, в том числе на подготовку отопительной системы к зимнему </w:t>
      </w:r>
      <w:r w:rsidR="00660C23" w:rsidRPr="002450DF">
        <w:rPr>
          <w:rFonts w:ascii="Arial" w:hAnsi="Arial" w:cs="Arial"/>
        </w:rPr>
        <w:lastRenderedPageBreak/>
        <w:t>сезону;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>8. Затраты на закупку услуг управляющей компании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895475" cy="4667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объем i-й услуги управляющей компании;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i-й услуги управляющей компании в месяц;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4290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использования i-й услуги управляющей компании.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4</w:t>
      </w:r>
      <w:r w:rsidR="00660C23" w:rsidRPr="002450DF">
        <w:rPr>
          <w:rFonts w:ascii="Arial" w:hAnsi="Arial" w:cs="Arial"/>
        </w:rPr>
        <w:t xml:space="preserve">9. </w:t>
      </w:r>
      <w:proofErr w:type="gramStart"/>
      <w:r w:rsidR="00660C23" w:rsidRPr="002450DF">
        <w:rPr>
          <w:rFonts w:ascii="Arial" w:hAnsi="Arial" w:cs="Arial"/>
        </w:rPr>
        <w:t xml:space="preserve">В формулах для расчета затрат, указанных в </w:t>
      </w:r>
      <w:hyperlink w:anchor="Par598" w:history="1">
        <w:r w:rsidR="00660C23" w:rsidRPr="002450DF">
          <w:rPr>
            <w:rFonts w:ascii="Arial" w:hAnsi="Arial" w:cs="Arial"/>
          </w:rPr>
          <w:t xml:space="preserve">пунктах </w:t>
        </w:r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1</w:t>
        </w:r>
      </w:hyperlink>
      <w:r w:rsidR="00660C23" w:rsidRPr="002450DF">
        <w:rPr>
          <w:rFonts w:ascii="Arial" w:hAnsi="Arial" w:cs="Arial"/>
        </w:rPr>
        <w:t xml:space="preserve">, </w:t>
      </w:r>
      <w:hyperlink w:anchor="Par613" w:history="1">
        <w:r w:rsidRPr="002450DF">
          <w:rPr>
            <w:rFonts w:ascii="Arial" w:hAnsi="Arial" w:cs="Arial"/>
          </w:rPr>
          <w:t>5</w:t>
        </w:r>
        <w:r w:rsidR="00660C23" w:rsidRPr="002450DF">
          <w:rPr>
            <w:rFonts w:ascii="Arial" w:hAnsi="Arial" w:cs="Arial"/>
          </w:rPr>
          <w:t>3</w:t>
        </w:r>
      </w:hyperlink>
      <w:r w:rsidR="00660C23" w:rsidRPr="002450DF">
        <w:rPr>
          <w:rFonts w:ascii="Arial" w:hAnsi="Arial" w:cs="Arial"/>
        </w:rPr>
        <w:t xml:space="preserve"> и </w:t>
      </w:r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28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0.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охранно-тревожной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71600" cy="4667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обслуживаемых устройств в составе системы охранно-тревожной сигнализации;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обслуживания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7" w:name="Par598"/>
      <w:bookmarkEnd w:id="27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 xml:space="preserve">1. </w:t>
      </w:r>
      <w:proofErr w:type="gramStart"/>
      <w:r w:rsidR="00660C23" w:rsidRPr="002450DF">
        <w:rPr>
          <w:rFonts w:ascii="Arial" w:hAnsi="Arial" w:cs="Arial"/>
        </w:rPr>
        <w:t>Затраты на проведение текущего ремонта помещения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34" w:history="1">
        <w:r w:rsidR="00660C23" w:rsidRPr="002450DF">
          <w:rPr>
            <w:rFonts w:ascii="Arial" w:hAnsi="Arial" w:cs="Arial"/>
          </w:rPr>
          <w:t>Положения</w:t>
        </w:r>
      </w:hyperlink>
      <w:r w:rsidR="00660C23" w:rsidRPr="002450DF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660C23" w:rsidRPr="002450DF">
        <w:rPr>
          <w:rFonts w:ascii="Arial" w:hAnsi="Arial" w:cs="Arial"/>
        </w:rPr>
        <w:t xml:space="preserve"> ноября 1988 г. N 312,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площадь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здания, планируемая к проведению текущего ремонта;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текущего ремонта 1 кв. метра площади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здания.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2. Затраты на содержание прилегающей территории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>
            <wp:extent cx="1790700" cy="4667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содержания i-й прилегающей территории в месяц в расчете на 1 кв. метр площади;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8" w:name="Par613"/>
      <w:bookmarkEnd w:id="28"/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3. Затраты на оплату услуг по обслуживанию и уборке помещения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услуги по обслуживанию и уборке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помещения в месяц;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месяцев использования услуги по обслуживанию и уборке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помещения в месяц.</w:t>
      </w:r>
    </w:p>
    <w:p w:rsidR="00C555B2" w:rsidRPr="002450DF" w:rsidRDefault="00C555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</w:t>
      </w:r>
      <w:r w:rsidR="00660C23" w:rsidRPr="002450DF">
        <w:rPr>
          <w:rFonts w:ascii="Arial" w:hAnsi="Arial" w:cs="Arial"/>
        </w:rPr>
        <w:t>4. Затраты на вывоз твердых бытовых отходов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219200" cy="2571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куб. метров твердых бытовых отходов в год;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вывоза 1 куб. метра твердых бытовых отходов.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9" w:name="Par649"/>
      <w:bookmarkEnd w:id="29"/>
      <w:r w:rsidRPr="002450DF">
        <w:rPr>
          <w:rFonts w:ascii="Arial" w:hAnsi="Arial" w:cs="Arial"/>
        </w:rPr>
        <w:t>55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209675" cy="2571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56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</w:t>
      </w:r>
      <w:proofErr w:type="gramStart"/>
      <w:r w:rsidR="00660C23" w:rsidRPr="002450DF">
        <w:rPr>
          <w:rFonts w:ascii="Arial" w:hAnsi="Arial" w:cs="Arial"/>
        </w:rPr>
        <w:t>)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>
            <wp:extent cx="1476375" cy="4667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стоимость технического обслуживания и текущего ремонта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электрооборудования (электроподстанций, трансформаторных подстанций, </w:t>
      </w:r>
      <w:proofErr w:type="spellStart"/>
      <w:r w:rsidR="00660C23" w:rsidRPr="002450DF">
        <w:rPr>
          <w:rFonts w:ascii="Arial" w:hAnsi="Arial" w:cs="Arial"/>
        </w:rPr>
        <w:t>электрощитовых</w:t>
      </w:r>
      <w:proofErr w:type="spellEnd"/>
      <w:r w:rsidR="00660C23" w:rsidRPr="002450DF">
        <w:rPr>
          <w:rFonts w:ascii="Arial" w:hAnsi="Arial" w:cs="Arial"/>
        </w:rPr>
        <w:t>) административного здания (помещения);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57</w:t>
      </w:r>
      <w:r w:rsidR="00660C23" w:rsidRPr="002450DF">
        <w:rPr>
          <w:rFonts w:ascii="Arial" w:hAnsi="Arial" w:cs="Arial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58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59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823A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1905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=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1905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0DF">
        <w:rPr>
          <w:rFonts w:ascii="Arial" w:hAnsi="Arial" w:cs="Arial"/>
        </w:rPr>
        <w:t>+</w:t>
      </w:r>
      <w:r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972" w:rsidRPr="002450DF">
        <w:rPr>
          <w:rFonts w:ascii="Arial" w:hAnsi="Arial" w:cs="Arial"/>
        </w:rPr>
        <w:t>+</w:t>
      </w:r>
      <w:r w:rsidR="00572972" w:rsidRPr="002450DF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системы газового пожаротушения;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пожарной сигнализации;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видеонаблюдения.</w:t>
      </w:r>
    </w:p>
    <w:p w:rsidR="00660C23" w:rsidRPr="002450DF" w:rsidRDefault="00660C23" w:rsidP="005729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60.</w:t>
      </w:r>
      <w:r w:rsidR="00660C23" w:rsidRPr="002450DF">
        <w:rPr>
          <w:rFonts w:ascii="Arial" w:hAnsi="Arial" w:cs="Arial"/>
        </w:rPr>
        <w:t xml:space="preserve">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системы газового пожаротушения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датчика системы газового пожаротушения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61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кондиционирования и вентиляции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666875" cy="46672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19100" cy="25717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i-й установки кондиционирования и элементов вентиляции.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62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пожарной сигнализации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</w:t>
      </w:r>
      <w:proofErr w:type="spellStart"/>
      <w:r w:rsidR="00660C23" w:rsidRPr="002450DF">
        <w:rPr>
          <w:rFonts w:ascii="Arial" w:hAnsi="Arial" w:cs="Arial"/>
        </w:rPr>
        <w:t>извещателей</w:t>
      </w:r>
      <w:proofErr w:type="spellEnd"/>
      <w:r w:rsidR="00660C23" w:rsidRPr="002450DF">
        <w:rPr>
          <w:rFonts w:ascii="Arial" w:hAnsi="Arial" w:cs="Arial"/>
        </w:rPr>
        <w:t xml:space="preserve"> пожарной сигнализации;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извещателя</w:t>
      </w:r>
      <w:proofErr w:type="spellEnd"/>
      <w:r w:rsidR="00660C23" w:rsidRPr="002450DF">
        <w:rPr>
          <w:rFonts w:ascii="Arial" w:hAnsi="Arial" w:cs="Arial"/>
        </w:rPr>
        <w:t xml:space="preserve">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63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контроля и управления доступом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666875" cy="4667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текущего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 в составе систем контроля и управления доступом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64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автоматического диспетчерского управления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647825" cy="4667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 в составе систем автоматического диспетчерского управления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65</w:t>
      </w:r>
      <w:r w:rsidR="00660C23" w:rsidRPr="002450DF">
        <w:rPr>
          <w:rFonts w:ascii="Arial" w:hAnsi="Arial" w:cs="Arial"/>
        </w:rPr>
        <w:t xml:space="preserve">. Затраты на техническое обслуживание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-профилактический ремонт систем видеонаблюдения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24000" cy="4667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="00660C23" w:rsidRPr="002450DF">
        <w:rPr>
          <w:rFonts w:ascii="Arial" w:hAnsi="Arial" w:cs="Arial"/>
        </w:rPr>
        <w:t>регламентно</w:t>
      </w:r>
      <w:proofErr w:type="spellEnd"/>
      <w:r w:rsidR="00660C23" w:rsidRPr="002450DF">
        <w:rPr>
          <w:rFonts w:ascii="Arial" w:hAnsi="Arial" w:cs="Arial"/>
        </w:rPr>
        <w:t>-профилактического ремонта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устройства в составе систем видеонаблюдения в год.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66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>
            <wp:extent cx="2743200" cy="4953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g-й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стоимость 1 месяца работы внештатного сотрудника в g-й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0" w:name="Par737"/>
      <w:bookmarkEnd w:id="30"/>
      <w:r w:rsidRPr="002450DF">
        <w:rPr>
          <w:rFonts w:ascii="Arial" w:hAnsi="Arial" w:cs="Arial"/>
        </w:rPr>
        <w:t>Затраты на приобретение прочих работ 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не относящиеся к затратам на услуги связи, транспортные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услуги, оплату расходов по договорам об оказании услуг,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связанных</w:t>
      </w:r>
      <w:proofErr w:type="gramEnd"/>
      <w:r w:rsidRPr="002450DF">
        <w:rPr>
          <w:rFonts w:ascii="Arial" w:hAnsi="Arial" w:cs="Arial"/>
        </w:rPr>
        <w:t xml:space="preserve"> с проездом и наймом жилого помещения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в связи с командированием работников, заключаемым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 сторонними организациями, а также к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коммунальные услуги, аренду помещений и оборудования,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содержание имущества в рамках прочих затрат и затратам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приобретение прочих работ и услуг в рамках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67</w:t>
      </w:r>
      <w:r w:rsidR="00660C23" w:rsidRPr="002450DF">
        <w:rPr>
          <w:rFonts w:ascii="Arial" w:hAnsi="Arial" w:cs="Arial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923925" cy="2667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68</w:t>
      </w:r>
      <w:r w:rsidR="00660C23" w:rsidRPr="002450DF">
        <w:rPr>
          <w:rFonts w:ascii="Arial" w:hAnsi="Arial" w:cs="Arial"/>
        </w:rPr>
        <w:t xml:space="preserve">. Затраты на приобретение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285875" cy="4667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295275" cy="2571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</w:t>
      </w:r>
      <w:proofErr w:type="gramStart"/>
      <w:r w:rsidR="00660C23" w:rsidRPr="002450DF">
        <w:rPr>
          <w:rFonts w:ascii="Arial" w:hAnsi="Arial" w:cs="Arial"/>
        </w:rPr>
        <w:t>приобретаемых</w:t>
      </w:r>
      <w:proofErr w:type="gramEnd"/>
      <w:r w:rsidR="00660C23" w:rsidRPr="002450DF">
        <w:rPr>
          <w:rFonts w:ascii="Arial" w:hAnsi="Arial" w:cs="Arial"/>
        </w:rPr>
        <w:t xml:space="preserve"> i-х </w:t>
      </w:r>
      <w:proofErr w:type="spellStart"/>
      <w:r w:rsidR="00660C23" w:rsidRPr="002450DF">
        <w:rPr>
          <w:rFonts w:ascii="Arial" w:hAnsi="Arial" w:cs="Arial"/>
        </w:rPr>
        <w:t>спецжурналов</w:t>
      </w:r>
      <w:proofErr w:type="spellEnd"/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</w:t>
      </w:r>
      <w:proofErr w:type="spellStart"/>
      <w:r w:rsidR="00660C23" w:rsidRPr="002450DF">
        <w:rPr>
          <w:rFonts w:ascii="Arial" w:hAnsi="Arial" w:cs="Arial"/>
        </w:rPr>
        <w:t>спецжурнала</w:t>
      </w:r>
      <w:proofErr w:type="spellEnd"/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69</w:t>
      </w:r>
      <w:r w:rsidR="00660C23" w:rsidRPr="002450DF">
        <w:rPr>
          <w:rFonts w:ascii="Arial" w:hAnsi="Arial" w:cs="Arial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70</w:t>
      </w:r>
      <w:r w:rsidR="00660C23" w:rsidRPr="002450DF">
        <w:rPr>
          <w:rFonts w:ascii="Arial" w:hAnsi="Arial" w:cs="Arial"/>
        </w:rPr>
        <w:t>. Затраты на оплату услуг внештатных сотрудников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>
            <wp:extent cx="2705100" cy="4953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месяцев работы внештатного сотрудника в j-й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09575" cy="2667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месяца работы внештатного сотрудника в j-й должности;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71</w:t>
      </w:r>
      <w:r w:rsidR="00660C23" w:rsidRPr="002450DF">
        <w:rPr>
          <w:rFonts w:ascii="Arial" w:hAnsi="Arial" w:cs="Arial"/>
        </w:rPr>
        <w:t xml:space="preserve">. Затраты на проведение </w:t>
      </w:r>
      <w:proofErr w:type="spellStart"/>
      <w:r w:rsidR="00660C23" w:rsidRPr="002450DF">
        <w:rPr>
          <w:rFonts w:ascii="Arial" w:hAnsi="Arial" w:cs="Arial"/>
        </w:rPr>
        <w:t>предрейсового</w:t>
      </w:r>
      <w:proofErr w:type="spellEnd"/>
      <w:r w:rsidR="00660C23" w:rsidRPr="002450DF">
        <w:rPr>
          <w:rFonts w:ascii="Arial" w:hAnsi="Arial" w:cs="Arial"/>
        </w:rPr>
        <w:t xml:space="preserve"> и </w:t>
      </w:r>
      <w:proofErr w:type="spellStart"/>
      <w:r w:rsidR="00660C23" w:rsidRPr="002450DF">
        <w:rPr>
          <w:rFonts w:ascii="Arial" w:hAnsi="Arial" w:cs="Arial"/>
        </w:rPr>
        <w:t>послерейсового</w:t>
      </w:r>
      <w:proofErr w:type="spellEnd"/>
      <w:r w:rsidR="00660C23" w:rsidRPr="002450DF">
        <w:rPr>
          <w:rFonts w:ascii="Arial" w:hAnsi="Arial" w:cs="Arial"/>
        </w:rPr>
        <w:t xml:space="preserve"> осмотра водителей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838325" cy="4667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водителей;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проведения 1 </w:t>
      </w:r>
      <w:proofErr w:type="spellStart"/>
      <w:r w:rsidR="00660C23" w:rsidRPr="002450DF">
        <w:rPr>
          <w:rFonts w:ascii="Arial" w:hAnsi="Arial" w:cs="Arial"/>
        </w:rPr>
        <w:t>предрейсового</w:t>
      </w:r>
      <w:proofErr w:type="spellEnd"/>
      <w:r w:rsidR="00660C23" w:rsidRPr="002450DF">
        <w:rPr>
          <w:rFonts w:ascii="Arial" w:hAnsi="Arial" w:cs="Arial"/>
        </w:rPr>
        <w:t xml:space="preserve"> и </w:t>
      </w:r>
      <w:proofErr w:type="spellStart"/>
      <w:r w:rsidR="00660C23" w:rsidRPr="002450DF">
        <w:rPr>
          <w:rFonts w:ascii="Arial" w:hAnsi="Arial" w:cs="Arial"/>
        </w:rPr>
        <w:t>послерейсового</w:t>
      </w:r>
      <w:proofErr w:type="spellEnd"/>
      <w:r w:rsidR="00660C23" w:rsidRPr="002450DF">
        <w:rPr>
          <w:rFonts w:ascii="Arial" w:hAnsi="Arial" w:cs="Arial"/>
        </w:rPr>
        <w:t xml:space="preserve"> осмотра;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рабочих дней в году;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72</w:t>
      </w:r>
      <w:r w:rsidR="00660C23" w:rsidRPr="002450DF">
        <w:rPr>
          <w:rFonts w:ascii="Arial" w:hAnsi="Arial" w:cs="Arial"/>
        </w:rPr>
        <w:t>. Затраты на аттестацию специальных помещений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14475" cy="4667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i-х специальных помещений, подлежащих аттестации;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проведения аттестации 1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специального помещения.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73</w:t>
      </w:r>
      <w:r w:rsidR="00660C23" w:rsidRPr="002450DF">
        <w:rPr>
          <w:rFonts w:ascii="Arial" w:hAnsi="Arial" w:cs="Arial"/>
        </w:rPr>
        <w:t>. Затраты на проведение диспансеризации работников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1381125" cy="2571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D24320" w:rsidRPr="002450DF" w:rsidRDefault="00D2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74</w:t>
      </w:r>
      <w:r w:rsidR="00660C23" w:rsidRPr="002450DF">
        <w:rPr>
          <w:rFonts w:ascii="Arial" w:hAnsi="Arial" w:cs="Arial"/>
        </w:rPr>
        <w:t>. Затраты на оплату работ по монтажу (установке), дооборудованию и наладке оборудования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>
            <wp:extent cx="1638300" cy="4953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g-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монтажа (установки), дооборудования и наладки g-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оборудования.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75</w:t>
      </w:r>
      <w:r w:rsidR="00660C23" w:rsidRPr="002450DF">
        <w:rPr>
          <w:rFonts w:ascii="Arial" w:hAnsi="Arial" w:cs="Arial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76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27" w:history="1">
        <w:r w:rsidR="00660C23" w:rsidRPr="002450DF">
          <w:rPr>
            <w:rFonts w:ascii="Arial" w:hAnsi="Arial" w:cs="Arial"/>
          </w:rPr>
          <w:t>указанием</w:t>
        </w:r>
      </w:hyperlink>
      <w:r w:rsidR="00660C23" w:rsidRPr="002450DF">
        <w:rPr>
          <w:rFonts w:ascii="Arial" w:hAnsi="Arial" w:cs="Arial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660C23" w:rsidRPr="002450DF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4772025" cy="4667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предельный размер базовой ставки страхового тарифа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57200" cy="25717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периода использования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r w:rsidR="006F7F13" w:rsidRPr="002450DF">
        <w:rPr>
          <w:rFonts w:ascii="Arial" w:hAnsi="Arial" w:cs="Arial"/>
        </w:rPr>
        <w:t xml:space="preserve"> фе</w:t>
      </w:r>
      <w:r w:rsidR="00660C23" w:rsidRPr="002450DF">
        <w:rPr>
          <w:rFonts w:ascii="Arial" w:hAnsi="Arial" w:cs="Arial"/>
        </w:rPr>
        <w:t>деральн</w:t>
      </w:r>
      <w:r w:rsidR="006F7F13" w:rsidRPr="002450DF">
        <w:rPr>
          <w:rFonts w:ascii="Arial" w:hAnsi="Arial" w:cs="Arial"/>
        </w:rPr>
        <w:t>ым</w:t>
      </w:r>
      <w:r w:rsidR="00660C23" w:rsidRPr="002450DF">
        <w:rPr>
          <w:rFonts w:ascii="Arial" w:hAnsi="Arial" w:cs="Arial"/>
        </w:rPr>
        <w:t xml:space="preserve"> закон</w:t>
      </w:r>
      <w:r w:rsidR="006F7F13" w:rsidRPr="002450DF">
        <w:rPr>
          <w:rFonts w:ascii="Arial" w:hAnsi="Arial" w:cs="Arial"/>
        </w:rPr>
        <w:t>ом</w:t>
      </w:r>
      <w:r w:rsidR="00660C23" w:rsidRPr="002450DF">
        <w:rPr>
          <w:rFonts w:ascii="Arial" w:hAnsi="Arial" w:cs="Arial"/>
        </w:rPr>
        <w:t xml:space="preserve"> "Об обязательном страховании гражданской </w:t>
      </w:r>
      <w:r w:rsidR="00660C23" w:rsidRPr="002450DF">
        <w:rPr>
          <w:rFonts w:ascii="Arial" w:hAnsi="Arial" w:cs="Arial"/>
        </w:rPr>
        <w:lastRenderedPageBreak/>
        <w:t>ответственности владельцев транспортных средств";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77</w:t>
      </w:r>
      <w:r w:rsidR="00660C23" w:rsidRPr="002450DF">
        <w:rPr>
          <w:rFonts w:ascii="Arial" w:hAnsi="Arial" w:cs="Arial"/>
        </w:rPr>
        <w:t>. Затраты на оплату труда независимых экспертов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  <w:lang w:eastAsia="ru-RU"/>
        </w:rPr>
        <w:drawing>
          <wp:inline distT="0" distB="0" distL="0" distR="0">
            <wp:extent cx="2695575" cy="3143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1907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43" w:history="1">
        <w:r w:rsidR="00660C23" w:rsidRPr="002450DF">
          <w:rPr>
            <w:rFonts w:ascii="Arial" w:hAnsi="Arial" w:cs="Arial"/>
          </w:rPr>
          <w:t>постановлением</w:t>
        </w:r>
      </w:hyperlink>
      <w:r w:rsidR="00660C23" w:rsidRPr="002450DF">
        <w:rPr>
          <w:rFonts w:ascii="Arial" w:hAnsi="Arial" w:cs="Arial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1" w:name="Par828"/>
      <w:bookmarkEnd w:id="31"/>
      <w:r w:rsidRPr="002450DF">
        <w:rPr>
          <w:rFonts w:ascii="Arial" w:hAnsi="Arial" w:cs="Arial"/>
        </w:rPr>
        <w:t>Затраты на приобретение основных средств,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основных сре</w:t>
      </w:r>
      <w:proofErr w:type="gramStart"/>
      <w:r w:rsidRPr="002450DF">
        <w:rPr>
          <w:rFonts w:ascii="Arial" w:hAnsi="Arial" w:cs="Arial"/>
        </w:rPr>
        <w:t>дств в р</w:t>
      </w:r>
      <w:proofErr w:type="gramEnd"/>
      <w:r w:rsidRPr="002450DF">
        <w:rPr>
          <w:rFonts w:ascii="Arial" w:hAnsi="Arial" w:cs="Arial"/>
        </w:rPr>
        <w:t>амках затрат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78</w:t>
      </w:r>
      <w:r w:rsidR="00660C23" w:rsidRPr="002450DF">
        <w:rPr>
          <w:rFonts w:ascii="Arial" w:hAnsi="Arial" w:cs="Arial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4478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транспортных средств;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мебели;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2" w:name="Par840"/>
      <w:bookmarkEnd w:id="32"/>
      <w:r w:rsidRPr="002450DF">
        <w:rPr>
          <w:rFonts w:ascii="Arial" w:hAnsi="Arial" w:cs="Arial"/>
        </w:rPr>
        <w:t>79</w:t>
      </w:r>
      <w:r w:rsidR="00660C23" w:rsidRPr="002450DF">
        <w:rPr>
          <w:rFonts w:ascii="Arial" w:hAnsi="Arial" w:cs="Arial"/>
        </w:rPr>
        <w:t>. Затраты на приобретение транспортных средств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4"/>
          <w:lang w:eastAsia="ru-RU"/>
        </w:rPr>
        <w:drawing>
          <wp:inline distT="0" distB="0" distL="0" distR="0">
            <wp:extent cx="1409700" cy="4667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транспортных сре</w:t>
      </w:r>
      <w:proofErr w:type="gramStart"/>
      <w:r w:rsidR="00660C23" w:rsidRPr="002450DF">
        <w:rPr>
          <w:rFonts w:ascii="Arial" w:hAnsi="Arial" w:cs="Arial"/>
        </w:rPr>
        <w:t>дств в с</w:t>
      </w:r>
      <w:proofErr w:type="gramEnd"/>
      <w:r w:rsidR="00660C23" w:rsidRPr="002450DF">
        <w:rPr>
          <w:rFonts w:ascii="Arial" w:hAnsi="Arial" w:cs="Arial"/>
        </w:rPr>
        <w:t xml:space="preserve">оответствии с </w:t>
      </w:r>
      <w:r w:rsidR="00660C23" w:rsidRPr="002450DF">
        <w:rPr>
          <w:rFonts w:ascii="Arial" w:hAnsi="Arial" w:cs="Arial"/>
        </w:rPr>
        <w:lastRenderedPageBreak/>
        <w:t xml:space="preserve">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приобретения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 в соответствии с нормативами органов </w:t>
      </w:r>
      <w:r w:rsidR="00572972" w:rsidRPr="002450DF">
        <w:rPr>
          <w:rFonts w:ascii="Arial" w:hAnsi="Arial" w:cs="Arial"/>
        </w:rPr>
        <w:t xml:space="preserve">местного самоуправления </w:t>
      </w:r>
      <w:r w:rsidR="00660C23" w:rsidRPr="002450DF">
        <w:rPr>
          <w:rFonts w:ascii="Arial" w:hAnsi="Arial" w:cs="Arial"/>
        </w:rPr>
        <w:t>с учетом нормативов обеспечения функций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33" w:name="Par847"/>
      <w:bookmarkEnd w:id="33"/>
      <w:r w:rsidRPr="002450DF">
        <w:rPr>
          <w:rFonts w:ascii="Arial" w:hAnsi="Arial" w:cs="Arial"/>
        </w:rPr>
        <w:t>80</w:t>
      </w:r>
      <w:r w:rsidR="00660C23" w:rsidRPr="002450DF">
        <w:rPr>
          <w:rFonts w:ascii="Arial" w:hAnsi="Arial" w:cs="Arial"/>
        </w:rPr>
        <w:t>. Затраты на приобретение мебели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714500" cy="4667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28625" cy="2571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предметов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09575" cy="2571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предмета мебели в соответствии с нормативами органов</w:t>
      </w:r>
      <w:r w:rsidR="00572972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81</w:t>
      </w:r>
      <w:r w:rsidR="00660C23" w:rsidRPr="002450DF">
        <w:rPr>
          <w:rFonts w:ascii="Arial" w:hAnsi="Arial" w:cs="Arial"/>
        </w:rPr>
        <w:t>. Затраты на приобретение систем кондиционирования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285875" cy="4667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571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i-х систем кондиционирования;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1-й системы кондиционирования.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</w:rPr>
      </w:pPr>
      <w:bookmarkStart w:id="34" w:name="Par862"/>
      <w:bookmarkEnd w:id="34"/>
      <w:r w:rsidRPr="002450DF">
        <w:rPr>
          <w:rFonts w:ascii="Arial" w:hAnsi="Arial" w:cs="Arial"/>
        </w:rPr>
        <w:t>Затраты на приобретение материальных запасов, не отнесенные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 затратам на приобретение материальных запасов в рамках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затрат на информационно-коммуникационные технологии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82</w:t>
      </w:r>
      <w:r w:rsidR="00660C23" w:rsidRPr="002450DF">
        <w:rPr>
          <w:rFonts w:ascii="Arial" w:hAnsi="Arial" w:cs="Arial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670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),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676525" cy="26670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бланочной продукции;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83</w:t>
      </w:r>
      <w:r w:rsidR="00660C23" w:rsidRPr="002450DF">
        <w:rPr>
          <w:rFonts w:ascii="Arial" w:hAnsi="Arial" w:cs="Arial"/>
        </w:rPr>
        <w:t>. Затраты на приобретение бланочной продукции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38125" cy="257175"/>
            <wp:effectExtent l="0" t="0" r="9525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5"/>
          <w:lang w:eastAsia="ru-RU"/>
        </w:rPr>
        <w:lastRenderedPageBreak/>
        <w:drawing>
          <wp:inline distT="0" distB="0" distL="0" distR="0">
            <wp:extent cx="2476500" cy="4953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бланочной продукции;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бланка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тиражу;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52425" cy="2667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 приобретению количество прочей продукции, изготовляемой типографией;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единицы прочей продукции, изготовляемой типографией, по j-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тиражу.</w:t>
      </w:r>
    </w:p>
    <w:p w:rsidR="00660C23" w:rsidRPr="002450DF" w:rsidRDefault="005729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84</w:t>
      </w:r>
      <w:r w:rsidR="00660C23" w:rsidRPr="002450DF">
        <w:rPr>
          <w:rFonts w:ascii="Arial" w:hAnsi="Arial" w:cs="Arial"/>
        </w:rPr>
        <w:t>. Затраты на приобретение канцелярских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28625" cy="25717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 xml:space="preserve"> в расчете на основного работника;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378" w:history="1">
        <w:r w:rsidR="00660C23" w:rsidRPr="002450DF">
          <w:rPr>
            <w:rFonts w:ascii="Arial" w:hAnsi="Arial" w:cs="Arial"/>
          </w:rPr>
          <w:t>пунктами 17</w:t>
        </w:r>
      </w:hyperlink>
      <w:r w:rsidR="00660C23" w:rsidRPr="002450DF">
        <w:rPr>
          <w:rFonts w:ascii="Arial" w:hAnsi="Arial" w:cs="Arial"/>
        </w:rPr>
        <w:t xml:space="preserve"> - </w:t>
      </w:r>
      <w:hyperlink r:id="rId379" w:history="1">
        <w:r w:rsidR="00660C23" w:rsidRPr="002450DF">
          <w:rPr>
            <w:rFonts w:ascii="Arial" w:hAnsi="Arial" w:cs="Arial"/>
          </w:rPr>
          <w:t>22</w:t>
        </w:r>
      </w:hyperlink>
      <w:r w:rsidR="00660C23" w:rsidRPr="002450DF">
        <w:rPr>
          <w:rFonts w:ascii="Arial" w:hAnsi="Arial" w:cs="Arial"/>
        </w:rPr>
        <w:t xml:space="preserve"> общих требований к определению нормативных затрат;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предмета канцелярских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85</w:t>
      </w:r>
      <w:r w:rsidR="00660C23" w:rsidRPr="002450DF">
        <w:rPr>
          <w:rFonts w:ascii="Arial" w:hAnsi="Arial" w:cs="Arial"/>
        </w:rPr>
        <w:t>. Затраты на приобретение хозяйственных товаров и принадлежностей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409700" cy="4667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14325" cy="25717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i-й единицы хозяйственных товаров и принадлежностей в соответствии с нормативами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хозяйственного товара и принадлежности в соответствии с нормативами  органов</w:t>
      </w:r>
      <w:r w:rsidR="00594661" w:rsidRPr="002450DF">
        <w:rPr>
          <w:rFonts w:ascii="Arial" w:hAnsi="Arial" w:cs="Arial"/>
        </w:rPr>
        <w:t xml:space="preserve"> местного самоуправления</w:t>
      </w:r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86</w:t>
      </w:r>
      <w:r w:rsidR="00660C23" w:rsidRPr="002450DF">
        <w:rPr>
          <w:rFonts w:ascii="Arial" w:hAnsi="Arial" w:cs="Arial"/>
        </w:rPr>
        <w:t>. Затраты на приобретение горюче-смазочных материалов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105025" cy="4667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норма расхода топлива на 100 километров пробега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 согласно </w:t>
      </w:r>
      <w:hyperlink r:id="rId388" w:history="1">
        <w:r w:rsidR="00660C23" w:rsidRPr="002450DF">
          <w:rPr>
            <w:rFonts w:ascii="Arial" w:hAnsi="Arial" w:cs="Arial"/>
          </w:rPr>
          <w:t>методическим рекомендациям</w:t>
        </w:r>
      </w:hyperlink>
      <w:r w:rsidR="00660C23" w:rsidRPr="002450DF">
        <w:rPr>
          <w:rFonts w:ascii="Arial" w:hAnsi="Arial" w:cs="Arial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>
            <wp:extent cx="352425" cy="2571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1 литра горюче-смазочного материала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транспортному средству;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планируемое количество рабочих дней использования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транспортного средства в очередном финансовом году.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87</w:t>
      </w:r>
      <w:r w:rsidR="00660C23" w:rsidRPr="002450DF">
        <w:rPr>
          <w:rFonts w:ascii="Arial" w:hAnsi="Arial" w:cs="Arial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60C23" w:rsidRPr="002450DF">
          <w:rPr>
            <w:rFonts w:ascii="Arial" w:hAnsi="Arial" w:cs="Arial"/>
          </w:rPr>
          <w:t>приложением N 2</w:t>
        </w:r>
      </w:hyperlink>
      <w:r w:rsidR="00660C23" w:rsidRPr="002450DF">
        <w:rPr>
          <w:rFonts w:ascii="Arial" w:hAnsi="Arial" w:cs="Arial"/>
        </w:rPr>
        <w:t>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88</w:t>
      </w:r>
      <w:r w:rsidR="00660C23" w:rsidRPr="002450DF">
        <w:rPr>
          <w:rFonts w:ascii="Arial" w:hAnsi="Arial" w:cs="Arial"/>
        </w:rPr>
        <w:t>. Затраты на приобретение материальных запасов для нужд гражданской обороны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42900" cy="25717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2133600" cy="4667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428625" cy="2571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i-</w:t>
      </w:r>
      <w:proofErr w:type="spellStart"/>
      <w:r w:rsidR="00660C23" w:rsidRPr="002450DF">
        <w:rPr>
          <w:rFonts w:ascii="Arial" w:hAnsi="Arial" w:cs="Arial"/>
        </w:rPr>
        <w:t>го</w:t>
      </w:r>
      <w:proofErr w:type="spellEnd"/>
      <w:r w:rsidR="00660C23" w:rsidRPr="002450DF">
        <w:rPr>
          <w:rFonts w:ascii="Arial" w:hAnsi="Arial" w:cs="Arial"/>
        </w:rPr>
        <w:t xml:space="preserve">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76225" cy="2571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расчетная численность основных работников, определяемая в соответствии с </w:t>
      </w:r>
      <w:hyperlink r:id="rId396" w:history="1">
        <w:r w:rsidR="00660C23" w:rsidRPr="002450DF">
          <w:rPr>
            <w:rFonts w:ascii="Arial" w:hAnsi="Arial" w:cs="Arial"/>
          </w:rPr>
          <w:t xml:space="preserve">пунктами </w:t>
        </w:r>
        <w:r w:rsidR="00594661" w:rsidRPr="002450DF">
          <w:rPr>
            <w:rFonts w:ascii="Arial" w:hAnsi="Arial" w:cs="Arial"/>
          </w:rPr>
          <w:t>13-15</w:t>
        </w:r>
      </w:hyperlink>
      <w:r w:rsidR="00660C23" w:rsidRPr="002450DF">
        <w:rPr>
          <w:rFonts w:ascii="Arial" w:hAnsi="Arial" w:cs="Arial"/>
        </w:rPr>
        <w:t xml:space="preserve"> общих требований к определению нормативных затрат.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5" w:name="Par919"/>
      <w:bookmarkEnd w:id="35"/>
      <w:r w:rsidRPr="002450DF">
        <w:rPr>
          <w:rFonts w:ascii="Arial" w:hAnsi="Arial" w:cs="Arial"/>
        </w:rPr>
        <w:t>III. Затраты на капитальный ремонт</w:t>
      </w:r>
    </w:p>
    <w:p w:rsidR="00660C23" w:rsidRPr="002450DF" w:rsidRDefault="00783D4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муниципального</w:t>
      </w:r>
      <w:r w:rsidR="00660C23" w:rsidRPr="002450DF">
        <w:rPr>
          <w:rFonts w:ascii="Arial" w:hAnsi="Arial" w:cs="Arial"/>
        </w:rPr>
        <w:t xml:space="preserve"> имущества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89</w:t>
      </w:r>
      <w:r w:rsidR="00660C23" w:rsidRPr="002450DF">
        <w:rPr>
          <w:rFonts w:ascii="Arial" w:hAnsi="Arial" w:cs="Arial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90</w:t>
      </w:r>
      <w:r w:rsidR="00660C23" w:rsidRPr="002450DF">
        <w:rPr>
          <w:rFonts w:ascii="Arial" w:hAnsi="Arial" w:cs="Arial"/>
        </w:rPr>
        <w:t xml:space="preserve">. </w:t>
      </w:r>
      <w:proofErr w:type="gramStart"/>
      <w:r w:rsidR="00660C23" w:rsidRPr="002450DF">
        <w:rPr>
          <w:rFonts w:ascii="Arial" w:hAnsi="Arial" w:cs="Arial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91</w:t>
      </w:r>
      <w:r w:rsidR="00660C23" w:rsidRPr="002450DF">
        <w:rPr>
          <w:rFonts w:ascii="Arial" w:hAnsi="Arial" w:cs="Arial"/>
        </w:rPr>
        <w:t xml:space="preserve">. Затраты на разработку проектной документации определяются в соответствии со </w:t>
      </w:r>
      <w:hyperlink r:id="rId397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6" w:name="Par926"/>
      <w:bookmarkEnd w:id="36"/>
      <w:r w:rsidRPr="002450DF">
        <w:rPr>
          <w:rFonts w:ascii="Arial" w:hAnsi="Arial" w:cs="Arial"/>
        </w:rPr>
        <w:t>IV. Затраты на финансовое обеспечение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gramStart"/>
      <w:r w:rsidRPr="002450DF">
        <w:rPr>
          <w:rFonts w:ascii="Arial" w:hAnsi="Arial" w:cs="Arial"/>
        </w:rPr>
        <w:t>строительства, реконструкции (в том числе с элементами</w:t>
      </w:r>
      <w:proofErr w:type="gramEnd"/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реставрации), технического перевооружения объектов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2450DF">
        <w:rPr>
          <w:rFonts w:ascii="Arial" w:hAnsi="Arial" w:cs="Arial"/>
        </w:rPr>
        <w:t>капитального строительства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92</w:t>
      </w:r>
      <w:r w:rsidR="00660C23" w:rsidRPr="002450DF">
        <w:rPr>
          <w:rFonts w:ascii="Arial" w:hAnsi="Arial" w:cs="Arial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8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</w:t>
      </w:r>
      <w:r w:rsidR="00783D40" w:rsidRPr="002450DF">
        <w:rPr>
          <w:rFonts w:ascii="Arial" w:hAnsi="Arial" w:cs="Arial"/>
        </w:rPr>
        <w:t xml:space="preserve"> № 44-ФЗ</w:t>
      </w:r>
      <w:r w:rsidR="006F7F13" w:rsidRPr="002450DF">
        <w:rPr>
          <w:rFonts w:ascii="Arial" w:hAnsi="Arial" w:cs="Arial"/>
        </w:rPr>
        <w:t xml:space="preserve"> </w:t>
      </w:r>
      <w:r w:rsidR="00783D40" w:rsidRPr="002450DF">
        <w:rPr>
          <w:rFonts w:ascii="Arial" w:hAnsi="Arial" w:cs="Arial"/>
        </w:rPr>
        <w:t xml:space="preserve">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 </w:t>
      </w:r>
      <w:r w:rsidR="00660C23" w:rsidRPr="002450DF">
        <w:rPr>
          <w:rFonts w:ascii="Arial" w:hAnsi="Arial" w:cs="Arial"/>
        </w:rPr>
        <w:t>и с законодательством Российской Федерации о градостроительной деятельности.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93</w:t>
      </w:r>
      <w:r w:rsidR="00660C23" w:rsidRPr="002450DF">
        <w:rPr>
          <w:rFonts w:ascii="Arial" w:hAnsi="Arial" w:cs="Arial"/>
        </w:rPr>
        <w:t xml:space="preserve">. Затраты на приобретение объектов недвижимого имущества определяются в соответствии со </w:t>
      </w:r>
      <w:hyperlink r:id="rId399" w:history="1">
        <w:r w:rsidR="00660C23" w:rsidRPr="002450DF">
          <w:rPr>
            <w:rFonts w:ascii="Arial" w:hAnsi="Arial" w:cs="Arial"/>
          </w:rPr>
          <w:t>статьей 22</w:t>
        </w:r>
      </w:hyperlink>
      <w:r w:rsidR="00660C23" w:rsidRPr="002450DF">
        <w:rPr>
          <w:rFonts w:ascii="Arial" w:hAnsi="Arial" w:cs="Arial"/>
        </w:rPr>
        <w:t xml:space="preserve"> Федерального закона </w:t>
      </w:r>
      <w:r w:rsidR="006F7F13" w:rsidRPr="002450DF">
        <w:rPr>
          <w:rFonts w:ascii="Arial" w:hAnsi="Arial" w:cs="Arial"/>
        </w:rPr>
        <w:t xml:space="preserve">«О контрактной системе в сфере закупок товаров, работ, услуг для обеспечения государственных и муниципальных нужд" </w:t>
      </w:r>
      <w:r w:rsidR="00660C23" w:rsidRPr="002450DF">
        <w:rPr>
          <w:rFonts w:ascii="Arial" w:hAnsi="Arial" w:cs="Arial"/>
        </w:rPr>
        <w:t xml:space="preserve">и с </w:t>
      </w:r>
      <w:r w:rsidR="00660C23" w:rsidRPr="002450DF">
        <w:rPr>
          <w:rFonts w:ascii="Arial" w:hAnsi="Arial" w:cs="Arial"/>
        </w:rPr>
        <w:lastRenderedPageBreak/>
        <w:t>законодательством Российской Федерации, регулирующим оценочную деятельность в Российской Федерации.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F7F13" w:rsidRPr="002450DF" w:rsidRDefault="006F7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  <w:bookmarkStart w:id="37" w:name="Par934"/>
      <w:bookmarkEnd w:id="37"/>
      <w:r w:rsidRPr="002450DF">
        <w:rPr>
          <w:rFonts w:ascii="Arial" w:hAnsi="Arial" w:cs="Arial"/>
        </w:rPr>
        <w:t>V. Затраты на дополнительное профессиональное образование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94</w:t>
      </w:r>
      <w:r w:rsidR="00660C23" w:rsidRPr="002450DF">
        <w:rPr>
          <w:rFonts w:ascii="Arial" w:hAnsi="Arial" w:cs="Arial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60C23" w:rsidRPr="002450DF">
        <w:rPr>
          <w:rFonts w:ascii="Arial" w:hAnsi="Arial" w:cs="Arial"/>
        </w:rPr>
        <w:t xml:space="preserve"> (</w:t>
      </w:r>
      <w:r w:rsidR="005A4AD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95275" cy="2571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) </w:t>
      </w:r>
      <w:proofErr w:type="gramEnd"/>
      <w:r w:rsidR="00660C23" w:rsidRPr="002450DF">
        <w:rPr>
          <w:rFonts w:ascii="Arial" w:hAnsi="Arial" w:cs="Arial"/>
        </w:rPr>
        <w:t>определяются по формуле: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>,</w:t>
      </w: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Pr="002450DF" w:rsidRDefault="00660C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где: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81000" cy="2571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60C23" w:rsidRPr="002450DF" w:rsidRDefault="005A4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23" w:rsidRPr="002450DF">
        <w:rPr>
          <w:rFonts w:ascii="Arial" w:hAnsi="Arial" w:cs="Arial"/>
        </w:rPr>
        <w:t xml:space="preserve"> - цена обучения одного работника по i-</w:t>
      </w:r>
      <w:proofErr w:type="spellStart"/>
      <w:r w:rsidR="00660C23" w:rsidRPr="002450DF">
        <w:rPr>
          <w:rFonts w:ascii="Arial" w:hAnsi="Arial" w:cs="Arial"/>
        </w:rPr>
        <w:t>му</w:t>
      </w:r>
      <w:proofErr w:type="spellEnd"/>
      <w:r w:rsidR="00660C23" w:rsidRPr="002450DF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660C23" w:rsidRPr="002450DF" w:rsidRDefault="005946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2450DF">
        <w:rPr>
          <w:rFonts w:ascii="Arial" w:hAnsi="Arial" w:cs="Arial"/>
        </w:rPr>
        <w:t>95</w:t>
      </w:r>
      <w:r w:rsidR="00660C23" w:rsidRPr="002450DF">
        <w:rPr>
          <w:rFonts w:ascii="Arial" w:hAnsi="Arial" w:cs="Arial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4" w:history="1">
        <w:r w:rsidR="00660C23" w:rsidRPr="002450DF">
          <w:rPr>
            <w:rFonts w:ascii="Arial" w:hAnsi="Arial" w:cs="Arial"/>
          </w:rPr>
          <w:t>статьей 22</w:t>
        </w:r>
      </w:hyperlink>
      <w:r w:rsidR="006F7F13" w:rsidRPr="002450DF"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60C2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C18C4" w:rsidRPr="002450DF" w:rsidRDefault="00EC18C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0C2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F50EC3" w:rsidRDefault="00F50E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BB32D1" w:rsidRDefault="00BB32D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DC45DA" w:rsidRDefault="00DC45D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DC45DA" w:rsidRPr="002450DF" w:rsidRDefault="00DC45D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bookmarkStart w:id="38" w:name="Par949"/>
      <w:bookmarkEnd w:id="38"/>
      <w:r w:rsidRPr="00F50EC3">
        <w:rPr>
          <w:rFonts w:ascii="Arial" w:hAnsi="Arial" w:cs="Arial"/>
        </w:rPr>
        <w:lastRenderedPageBreak/>
        <w:t xml:space="preserve">Приложение </w:t>
      </w:r>
      <w:r w:rsidR="00DC45DA">
        <w:rPr>
          <w:rFonts w:ascii="Arial" w:hAnsi="Arial" w:cs="Arial"/>
        </w:rPr>
        <w:t>№</w:t>
      </w:r>
      <w:r w:rsidRPr="00F50EC3">
        <w:rPr>
          <w:rFonts w:ascii="Arial" w:hAnsi="Arial" w:cs="Arial"/>
        </w:rPr>
        <w:t>1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2450DF" w:rsidRPr="00F50EC3" w:rsidRDefault="00660C23" w:rsidP="002450D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органов</w:t>
      </w:r>
      <w:r w:rsidR="00707F05" w:rsidRPr="00F50EC3">
        <w:rPr>
          <w:rFonts w:ascii="Arial" w:hAnsi="Arial" w:cs="Arial"/>
        </w:rPr>
        <w:t xml:space="preserve"> местного самоуправления</w:t>
      </w:r>
      <w:r w:rsidR="002450DF" w:rsidRPr="00F50EC3">
        <w:rPr>
          <w:rFonts w:ascii="Arial" w:hAnsi="Arial" w:cs="Arial"/>
        </w:rPr>
        <w:t xml:space="preserve"> муниципального </w:t>
      </w:r>
    </w:p>
    <w:p w:rsidR="00DC45DA" w:rsidRDefault="002450DF" w:rsidP="002450D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образования  </w:t>
      </w:r>
      <w:r w:rsidR="00DC45DA">
        <w:rPr>
          <w:rFonts w:ascii="Arial" w:hAnsi="Arial" w:cs="Arial"/>
        </w:rPr>
        <w:t>Беляницкое сельское поселение</w:t>
      </w:r>
    </w:p>
    <w:p w:rsidR="00DC45DA" w:rsidRPr="00F50EC3" w:rsidRDefault="00DC45DA" w:rsidP="00DC45D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Сонковского района </w:t>
      </w:r>
      <w:r w:rsidR="002450DF" w:rsidRPr="00F50EC3">
        <w:rPr>
          <w:rFonts w:ascii="Arial" w:hAnsi="Arial" w:cs="Arial"/>
        </w:rPr>
        <w:t>Тверской области</w:t>
      </w:r>
      <w:r>
        <w:rPr>
          <w:rFonts w:ascii="Arial" w:hAnsi="Arial" w:cs="Arial"/>
        </w:rPr>
        <w:t>,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в том числе </w:t>
      </w:r>
      <w:proofErr w:type="gramStart"/>
      <w:r w:rsidRPr="00F50EC3">
        <w:rPr>
          <w:rFonts w:ascii="Arial" w:hAnsi="Arial" w:cs="Arial"/>
        </w:rPr>
        <w:t>подведомственных</w:t>
      </w:r>
      <w:proofErr w:type="gramEnd"/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  <w:r w:rsidRPr="00F50EC3">
        <w:rPr>
          <w:rFonts w:ascii="Arial" w:hAnsi="Arial" w:cs="Arial"/>
        </w:rPr>
        <w:t>им казенных учреждений</w:t>
      </w:r>
    </w:p>
    <w:p w:rsidR="00660C23" w:rsidRPr="00F50EC3" w:rsidRDefault="00660C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</w:p>
    <w:p w:rsidR="00660C23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bookmarkStart w:id="39" w:name="Par959"/>
      <w:bookmarkEnd w:id="39"/>
      <w:r w:rsidRPr="00F50EC3">
        <w:rPr>
          <w:rFonts w:ascii="Arial" w:hAnsi="Arial" w:cs="Arial"/>
        </w:rPr>
        <w:t xml:space="preserve">Нормативы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обеспечения функций органов местного самоуправления 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муниципального образования </w:t>
      </w:r>
      <w:r w:rsidR="00DC45DA">
        <w:rPr>
          <w:rFonts w:ascii="Arial" w:hAnsi="Arial" w:cs="Arial"/>
        </w:rPr>
        <w:t>Беляницкое сельское поселение Сонковского района Тверской области,</w:t>
      </w:r>
      <w:r w:rsidRPr="00F50EC3">
        <w:rPr>
          <w:rFonts w:ascii="Arial" w:hAnsi="Arial" w:cs="Arial"/>
        </w:rPr>
        <w:t xml:space="preserve"> </w:t>
      </w:r>
    </w:p>
    <w:p w:rsidR="00FB6231" w:rsidRPr="00F50EC3" w:rsidRDefault="00FB6231" w:rsidP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FB6231" w:rsidRPr="00F50EC3" w:rsidRDefault="00FB62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985"/>
        <w:gridCol w:w="1417"/>
        <w:gridCol w:w="1701"/>
        <w:gridCol w:w="2268"/>
      </w:tblGrid>
      <w:tr w:rsidR="002450DF" w:rsidRPr="00F50EC3" w:rsidTr="00F50EC3">
        <w:tc>
          <w:tcPr>
            <w:tcW w:w="1702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Вид связи</w:t>
            </w:r>
          </w:p>
        </w:tc>
        <w:tc>
          <w:tcPr>
            <w:tcW w:w="1985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</w:tc>
        <w:tc>
          <w:tcPr>
            <w:tcW w:w="1417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>язи</w:t>
            </w:r>
          </w:p>
        </w:tc>
        <w:tc>
          <w:tcPr>
            <w:tcW w:w="1701" w:type="dxa"/>
          </w:tcPr>
          <w:p w:rsidR="002450DF" w:rsidRPr="00F50EC3" w:rsidRDefault="0024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приобретения сре</w:t>
            </w:r>
            <w:proofErr w:type="gramStart"/>
            <w:r w:rsidRPr="00F50EC3">
              <w:rPr>
                <w:rFonts w:ascii="Arial" w:hAnsi="Arial" w:cs="Arial"/>
              </w:rPr>
              <w:t>дств св</w:t>
            </w:r>
            <w:proofErr w:type="gramEnd"/>
            <w:r w:rsidRPr="00F50EC3">
              <w:rPr>
                <w:rFonts w:ascii="Arial" w:hAnsi="Arial" w:cs="Arial"/>
              </w:rPr>
              <w:t xml:space="preserve">язи </w:t>
            </w:r>
            <w:hyperlink w:anchor="Par1008" w:history="1">
              <w:r w:rsidRPr="00F50EC3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268" w:type="dxa"/>
          </w:tcPr>
          <w:p w:rsidR="002450DF" w:rsidRPr="00F50EC3" w:rsidRDefault="002450DF" w:rsidP="00BB3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Расходы на услуги связи</w:t>
            </w:r>
          </w:p>
        </w:tc>
      </w:tr>
      <w:tr w:rsidR="00662CFF" w:rsidRPr="00F50EC3" w:rsidTr="00F50EC3">
        <w:tc>
          <w:tcPr>
            <w:tcW w:w="1702" w:type="dxa"/>
          </w:tcPr>
          <w:p w:rsidR="00662CFF" w:rsidRPr="00F50EC3" w:rsidRDefault="00662CFF" w:rsidP="00DC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Администрация </w:t>
            </w:r>
            <w:r w:rsidR="00DC45DA">
              <w:rPr>
                <w:rFonts w:ascii="Arial" w:hAnsi="Arial" w:cs="Arial"/>
              </w:rPr>
              <w:t xml:space="preserve">Беляницкого </w:t>
            </w:r>
            <w:proofErr w:type="gramStart"/>
            <w:r w:rsidR="00DC45DA">
              <w:rPr>
                <w:rFonts w:ascii="Arial" w:hAnsi="Arial" w:cs="Arial"/>
              </w:rPr>
              <w:t>сельского</w:t>
            </w:r>
            <w:proofErr w:type="gramEnd"/>
            <w:r w:rsidR="00DC45DA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417" w:type="dxa"/>
          </w:tcPr>
          <w:p w:rsidR="00662CFF" w:rsidRPr="00F50EC3" w:rsidRDefault="00F50EC3" w:rsidP="00FB6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П</w:t>
            </w:r>
            <w:r w:rsidR="00662CFF" w:rsidRPr="00F50EC3">
              <w:rPr>
                <w:rFonts w:ascii="Arial" w:hAnsi="Arial" w:cs="Arial"/>
              </w:rPr>
              <w:t>одвижная связь</w:t>
            </w:r>
          </w:p>
        </w:tc>
        <w:tc>
          <w:tcPr>
            <w:tcW w:w="1985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417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 единицы </w:t>
            </w:r>
          </w:p>
        </w:tc>
        <w:tc>
          <w:tcPr>
            <w:tcW w:w="1701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15 тыс. рублей включительно за 1 единицу </w:t>
            </w:r>
          </w:p>
        </w:tc>
        <w:tc>
          <w:tcPr>
            <w:tcW w:w="2268" w:type="dxa"/>
          </w:tcPr>
          <w:p w:rsidR="00662CFF" w:rsidRPr="00F50EC3" w:rsidRDefault="00662CFF" w:rsidP="00245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ежемесячные расходы не более 2 тыс. рублей  включительно </w:t>
            </w:r>
          </w:p>
        </w:tc>
      </w:tr>
    </w:tbl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F50EC3">
        <w:rPr>
          <w:rFonts w:ascii="Arial" w:hAnsi="Arial" w:cs="Arial"/>
        </w:rPr>
        <w:t>&lt;1&gt; Периодичность приобретения сре</w:t>
      </w:r>
      <w:proofErr w:type="gramStart"/>
      <w:r w:rsidRPr="00F50EC3">
        <w:rPr>
          <w:rFonts w:ascii="Arial" w:hAnsi="Arial" w:cs="Arial"/>
        </w:rPr>
        <w:t>дств св</w:t>
      </w:r>
      <w:proofErr w:type="gramEnd"/>
      <w:r w:rsidRPr="00F50EC3">
        <w:rPr>
          <w:rFonts w:ascii="Arial" w:hAnsi="Arial" w:cs="Arial"/>
        </w:rPr>
        <w:t>язи определяется максимальным сроком полезного использования и составляет 5 лет.</w:t>
      </w:r>
    </w:p>
    <w:p w:rsidR="00844C61" w:rsidRPr="00F50EC3" w:rsidRDefault="00844C61" w:rsidP="00844C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40" w:name="Par1009"/>
      <w:bookmarkStart w:id="41" w:name="Par1010"/>
      <w:bookmarkEnd w:id="40"/>
      <w:bookmarkEnd w:id="41"/>
      <w:r w:rsidRPr="00F50EC3">
        <w:rPr>
          <w:rFonts w:ascii="Arial" w:hAnsi="Arial" w:cs="Arial"/>
        </w:rPr>
        <w:t>&lt;</w:t>
      </w:r>
      <w:r w:rsidR="00662CFF" w:rsidRPr="00F50EC3">
        <w:rPr>
          <w:rFonts w:ascii="Arial" w:hAnsi="Arial" w:cs="Arial"/>
        </w:rPr>
        <w:t>2</w:t>
      </w:r>
      <w:r w:rsidRPr="00F50EC3">
        <w:rPr>
          <w:rFonts w:ascii="Arial" w:hAnsi="Arial" w:cs="Arial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руководителя органа </w:t>
      </w:r>
      <w:r w:rsidR="002450DF" w:rsidRPr="00F50EC3">
        <w:rPr>
          <w:rFonts w:ascii="Arial" w:hAnsi="Arial" w:cs="Arial"/>
        </w:rPr>
        <w:t>местного самоуправления</w:t>
      </w:r>
      <w:r w:rsidR="00662CFF" w:rsidRPr="00F50EC3">
        <w:rPr>
          <w:rFonts w:ascii="Arial" w:hAnsi="Arial" w:cs="Arial"/>
        </w:rPr>
        <w:t xml:space="preserve"> </w:t>
      </w:r>
      <w:r w:rsidRPr="00F50EC3">
        <w:rPr>
          <w:rFonts w:ascii="Arial" w:hAnsi="Arial" w:cs="Arial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62CFF" w:rsidRPr="00F50EC3" w:rsidRDefault="00662CFF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Pr="00F50EC3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653524" w:rsidRDefault="00653524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F50EC3" w:rsidRDefault="00F50EC3" w:rsidP="00DC45DA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DC45DA" w:rsidRDefault="00DC45DA" w:rsidP="00DC45DA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hAnsi="Arial" w:cs="Arial"/>
          <w:highlight w:val="yellow"/>
        </w:rPr>
      </w:pPr>
    </w:p>
    <w:p w:rsidR="00F50EC3" w:rsidRDefault="00F50EC3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  <w:highlight w:val="yellow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Arial" w:hAnsi="Arial" w:cs="Arial"/>
        </w:rPr>
      </w:pPr>
      <w:r w:rsidRPr="00F50EC3">
        <w:rPr>
          <w:rFonts w:ascii="Arial" w:hAnsi="Arial" w:cs="Arial"/>
        </w:rPr>
        <w:lastRenderedPageBreak/>
        <w:t xml:space="preserve">Приложение </w:t>
      </w:r>
      <w:r w:rsidR="00DC45DA">
        <w:rPr>
          <w:rFonts w:ascii="Arial" w:hAnsi="Arial" w:cs="Arial"/>
        </w:rPr>
        <w:t>№</w:t>
      </w:r>
      <w:r w:rsidRPr="00F50EC3">
        <w:rPr>
          <w:rFonts w:ascii="Arial" w:hAnsi="Arial" w:cs="Arial"/>
        </w:rPr>
        <w:t xml:space="preserve"> 2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к Правилам определения </w:t>
      </w:r>
      <w:proofErr w:type="gramStart"/>
      <w:r w:rsidRPr="00F50EC3">
        <w:rPr>
          <w:rFonts w:ascii="Arial" w:hAnsi="Arial" w:cs="Arial"/>
        </w:rPr>
        <w:t>нормативных</w:t>
      </w:r>
      <w:proofErr w:type="gramEnd"/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>затрат на обеспечение функций</w:t>
      </w:r>
    </w:p>
    <w:p w:rsidR="00662CFF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органов местного самоуправления муниципального </w:t>
      </w:r>
    </w:p>
    <w:p w:rsidR="00DC45DA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образования </w:t>
      </w:r>
      <w:r w:rsidR="00DC45DA">
        <w:rPr>
          <w:rFonts w:ascii="Arial" w:hAnsi="Arial" w:cs="Arial"/>
        </w:rPr>
        <w:t>Беляницкое сельское поселение</w:t>
      </w:r>
    </w:p>
    <w:p w:rsidR="00DC45DA" w:rsidRDefault="00DC45DA" w:rsidP="00DC45D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Сонковского района Тверской области,</w:t>
      </w:r>
    </w:p>
    <w:p w:rsidR="00662CFF" w:rsidRPr="00F50EC3" w:rsidRDefault="00662CFF" w:rsidP="00DC45D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в том числе </w:t>
      </w:r>
      <w:proofErr w:type="gramStart"/>
      <w:r w:rsidRPr="00F50EC3">
        <w:rPr>
          <w:rFonts w:ascii="Arial" w:hAnsi="Arial" w:cs="Arial"/>
        </w:rPr>
        <w:t>подведомственных</w:t>
      </w:r>
      <w:proofErr w:type="gramEnd"/>
    </w:p>
    <w:p w:rsidR="00123751" w:rsidRPr="00F50EC3" w:rsidRDefault="00662CFF" w:rsidP="00662CF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highlight w:val="yellow"/>
        </w:rPr>
      </w:pPr>
      <w:r w:rsidRPr="00F50EC3">
        <w:rPr>
          <w:rFonts w:ascii="Arial" w:hAnsi="Arial" w:cs="Arial"/>
        </w:rPr>
        <w:t>им казенных учреждений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 xml:space="preserve">Нормативы </w:t>
      </w: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50EC3">
        <w:rPr>
          <w:rFonts w:ascii="Arial" w:hAnsi="Arial" w:cs="Arial"/>
        </w:rPr>
        <w:t>обеспечения функций органов местного самоуправления, применяемых при расчете нормативных затрат на приобретение служебного легкового автотранспорта</w:t>
      </w:r>
    </w:p>
    <w:p w:rsidR="00660C23" w:rsidRPr="00F50EC3" w:rsidRDefault="00660C23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23751" w:rsidRPr="00F50EC3" w:rsidRDefault="00123751" w:rsidP="001237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260"/>
        <w:gridCol w:w="3260"/>
      </w:tblGrid>
      <w:tr w:rsidR="00DB599B" w:rsidRPr="00F50EC3" w:rsidTr="00F50EC3">
        <w:tc>
          <w:tcPr>
            <w:tcW w:w="1951" w:type="dxa"/>
            <w:vMerge w:val="restart"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Уровень органа местного самоуправления</w:t>
            </w:r>
          </w:p>
        </w:tc>
        <w:tc>
          <w:tcPr>
            <w:tcW w:w="1843" w:type="dxa"/>
            <w:vMerge w:val="restart"/>
          </w:tcPr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Должность</w:t>
            </w:r>
          </w:p>
          <w:p w:rsidR="00DB599B" w:rsidRPr="00F50EC3" w:rsidRDefault="00DB599B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</w:tcPr>
          <w:p w:rsidR="00DB599B" w:rsidRPr="00F50EC3" w:rsidRDefault="00DB599B" w:rsidP="0065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Транспортное средство </w:t>
            </w:r>
          </w:p>
        </w:tc>
      </w:tr>
      <w:tr w:rsidR="00DB599B" w:rsidRPr="00F50EC3" w:rsidTr="00F50EC3">
        <w:tc>
          <w:tcPr>
            <w:tcW w:w="1951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количество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B599B" w:rsidRPr="00F50EC3" w:rsidRDefault="00DB599B" w:rsidP="00123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цена и мощность</w:t>
            </w:r>
          </w:p>
        </w:tc>
      </w:tr>
      <w:tr w:rsidR="007113B5" w:rsidRPr="00F50EC3" w:rsidTr="00F50EC3">
        <w:trPr>
          <w:trHeight w:val="1116"/>
        </w:trPr>
        <w:tc>
          <w:tcPr>
            <w:tcW w:w="1951" w:type="dxa"/>
          </w:tcPr>
          <w:p w:rsidR="007113B5" w:rsidRPr="00F50EC3" w:rsidRDefault="007113B5" w:rsidP="00DC4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Администрация </w:t>
            </w:r>
            <w:r w:rsidR="00DC45DA">
              <w:rPr>
                <w:rFonts w:ascii="Arial" w:hAnsi="Arial" w:cs="Arial"/>
              </w:rPr>
              <w:t>Беляницкого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13B5" w:rsidRPr="00F50EC3" w:rsidRDefault="007113B5" w:rsidP="00DD5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 Главы администрации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113B5" w:rsidRPr="00F50EC3" w:rsidRDefault="007113B5" w:rsidP="00DB5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0EC3">
              <w:rPr>
                <w:rFonts w:ascii="Arial" w:hAnsi="Arial" w:cs="Arial"/>
              </w:rPr>
              <w:t xml:space="preserve">не более 1,5млн. рублей и не более 200 лошадиных сил включительно для муниципального служащего </w:t>
            </w:r>
          </w:p>
        </w:tc>
      </w:tr>
    </w:tbl>
    <w:p w:rsidR="007113B5" w:rsidRPr="00F50EC3" w:rsidRDefault="007113B5" w:rsidP="00FA6B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highlight w:val="yellow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53BB1" w:rsidRPr="00F50EC3" w:rsidRDefault="00753BB1" w:rsidP="00753BB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sectPr w:rsidR="00753BB1" w:rsidRPr="00F50EC3" w:rsidSect="00F50E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55E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7AA8"/>
    <w:rsid w:val="00597AB1"/>
    <w:rsid w:val="005A0E25"/>
    <w:rsid w:val="005A2EE3"/>
    <w:rsid w:val="005A2F76"/>
    <w:rsid w:val="005A4351"/>
    <w:rsid w:val="005A4AD5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C6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A2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45DA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55FA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3B99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061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B87"/>
    <w:rsid w:val="00FA7250"/>
    <w:rsid w:val="00FA7670"/>
    <w:rsid w:val="00FA7719"/>
    <w:rsid w:val="00FA77F9"/>
    <w:rsid w:val="00FB0C12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4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268" Type="http://schemas.openxmlformats.org/officeDocument/2006/relationships/image" Target="media/image253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299.wmf"/><Relationship Id="rId335" Type="http://schemas.openxmlformats.org/officeDocument/2006/relationships/image" Target="media/image319.wmf"/><Relationship Id="rId356" Type="http://schemas.openxmlformats.org/officeDocument/2006/relationships/image" Target="media/image339.wmf"/><Relationship Id="rId377" Type="http://schemas.openxmlformats.org/officeDocument/2006/relationships/image" Target="media/image360.wmf"/><Relationship Id="rId398" Type="http://schemas.openxmlformats.org/officeDocument/2006/relationships/hyperlink" Target="consultantplus://offline/ref=18FE3CACCB62A41B80D1FF7E5296393C2C96244BBF81AAFBA522A4EF6AE7150F9B8529E55888A11Da8cEH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69.wmf"/><Relationship Id="rId216" Type="http://schemas.openxmlformats.org/officeDocument/2006/relationships/image" Target="media/image203.wmf"/><Relationship Id="rId237" Type="http://schemas.openxmlformats.org/officeDocument/2006/relationships/image" Target="media/image222.wmf"/><Relationship Id="rId402" Type="http://schemas.openxmlformats.org/officeDocument/2006/relationships/image" Target="media/image378.wmf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10.wmf"/><Relationship Id="rId346" Type="http://schemas.openxmlformats.org/officeDocument/2006/relationships/image" Target="media/image329.wmf"/><Relationship Id="rId367" Type="http://schemas.openxmlformats.org/officeDocument/2006/relationships/image" Target="media/image350.wmf"/><Relationship Id="rId388" Type="http://schemas.openxmlformats.org/officeDocument/2006/relationships/hyperlink" Target="consultantplus://offline/ref=18FE3CACCB62A41B80D1FF7E5296393C2C962243B985AAFBA522A4EF6AE7150F9B8529E55888A31Ca8cEH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59.wmf"/><Relationship Id="rId192" Type="http://schemas.openxmlformats.org/officeDocument/2006/relationships/image" Target="media/image180.wmf"/><Relationship Id="rId206" Type="http://schemas.openxmlformats.org/officeDocument/2006/relationships/image" Target="media/image193.wmf"/><Relationship Id="rId227" Type="http://schemas.openxmlformats.org/officeDocument/2006/relationships/image" Target="media/image214.wmf"/><Relationship Id="rId248" Type="http://schemas.openxmlformats.org/officeDocument/2006/relationships/image" Target="media/image233.wmf"/><Relationship Id="rId269" Type="http://schemas.openxmlformats.org/officeDocument/2006/relationships/image" Target="media/image254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0.wmf"/><Relationship Id="rId217" Type="http://schemas.openxmlformats.org/officeDocument/2006/relationships/image" Target="media/image204.wmf"/><Relationship Id="rId378" Type="http://schemas.openxmlformats.org/officeDocument/2006/relationships/hyperlink" Target="consultantplus://offline/ref=18FE3CACCB62A41B80D1FF7E5296393C2C96284ABD8BAAFBA522A4EF6AE7150F9B8529E55888A214a8c1H" TargetMode="External"/><Relationship Id="rId399" Type="http://schemas.openxmlformats.org/officeDocument/2006/relationships/hyperlink" Target="consultantplus://offline/ref=18FE3CACCB62A41B80D1FF7E5296393C2C96244BBF81AAFBA522A4EF6AE7150F9B8529E55888A11Da8cEH" TargetMode="External"/><Relationship Id="rId403" Type="http://schemas.openxmlformats.org/officeDocument/2006/relationships/image" Target="media/image379.wmf"/><Relationship Id="rId6" Type="http://schemas.openxmlformats.org/officeDocument/2006/relationships/hyperlink" Target="consultantplus://offline/ref=18FE3CACCB62A41B80D1FF7E5296393C2C96244BBF81AAFBA522A4EF6AE7150F9B8529E55889AB19a8c4H" TargetMode="External"/><Relationship Id="rId238" Type="http://schemas.openxmlformats.org/officeDocument/2006/relationships/image" Target="media/image223.wmf"/><Relationship Id="rId259" Type="http://schemas.openxmlformats.org/officeDocument/2006/relationships/image" Target="media/image244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1.wmf"/><Relationship Id="rId389" Type="http://schemas.openxmlformats.org/officeDocument/2006/relationships/image" Target="media/image369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4.wmf"/><Relationship Id="rId228" Type="http://schemas.openxmlformats.org/officeDocument/2006/relationships/hyperlink" Target="consultantplus://offline/ref=18FE3CACCB62A41B80D1FF7E5296393C2C922540BE81AAFBA522A4EF6AaEc7H" TargetMode="External"/><Relationship Id="rId249" Type="http://schemas.openxmlformats.org/officeDocument/2006/relationships/image" Target="media/image234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1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1.wmf"/><Relationship Id="rId379" Type="http://schemas.openxmlformats.org/officeDocument/2006/relationships/hyperlink" Target="consultantplus://offline/ref=18FE3CACCB62A41B80D1FF7E5296393C2C96284ABD8BAAFBA522A4EF6AE7150F9B8529E55888A11Ca8c3H" TargetMode="External"/><Relationship Id="rId7" Type="http://schemas.openxmlformats.org/officeDocument/2006/relationships/image" Target="media/image1.wmf"/><Relationship Id="rId162" Type="http://schemas.openxmlformats.org/officeDocument/2006/relationships/hyperlink" Target="consultantplus://offline/ref=18FE3CACCB62A41B80D1FF7E5296393C2C972140BD84AAFBA522A4EF6AaEc7H" TargetMode="External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4.wmf"/><Relationship Id="rId390" Type="http://schemas.openxmlformats.org/officeDocument/2006/relationships/image" Target="media/image370.wmf"/><Relationship Id="rId404" Type="http://schemas.openxmlformats.org/officeDocument/2006/relationships/hyperlink" Target="consultantplus://offline/ref=18FE3CACCB62A41B80D1FF7E5296393C2C96244BBF81AAFBA522A4EF6AE7150F9B8529E55888A11Da8cEH" TargetMode="External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hyperlink" Target="consultantplus://offline/ref=18FE3CACCB62A41B80D1FF7E5296393C2C962841B981AAFBA522A4EF6AaEc7H" TargetMode="External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4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5.wmf"/><Relationship Id="rId229" Type="http://schemas.openxmlformats.org/officeDocument/2006/relationships/image" Target="media/image215.wmf"/><Relationship Id="rId380" Type="http://schemas.openxmlformats.org/officeDocument/2006/relationships/image" Target="media/image361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2.wmf"/><Relationship Id="rId359" Type="http://schemas.openxmlformats.org/officeDocument/2006/relationships/image" Target="media/image342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hyperlink" Target="consultantplus://offline/ref=18FE3CACCB62A41B80D1FF7E5296393C2C942042B886AAFBA522A4EF6AE7150F9B8529E55888A31Da8c1H" TargetMode="External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1.wmf"/><Relationship Id="rId405" Type="http://schemas.openxmlformats.org/officeDocument/2006/relationships/fontTable" Target="fontTable.xml"/><Relationship Id="rId230" Type="http://schemas.openxmlformats.org/officeDocument/2006/relationships/image" Target="media/image216.wmf"/><Relationship Id="rId251" Type="http://schemas.openxmlformats.org/officeDocument/2006/relationships/image" Target="media/image236.wmf"/><Relationship Id="rId25" Type="http://schemas.openxmlformats.org/officeDocument/2006/relationships/image" Target="media/image19.wmf"/><Relationship Id="rId46" Type="http://schemas.openxmlformats.org/officeDocument/2006/relationships/hyperlink" Target="consultantplus://offline/ref=18FE3CACCB62A41B80D1FF7E5296393C2C96284ABD8BAAFBA522A4EF6AE7150F9B8529E55888A214a8c1H" TargetMode="External"/><Relationship Id="rId67" Type="http://schemas.openxmlformats.org/officeDocument/2006/relationships/image" Target="media/image59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2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2.wmf"/><Relationship Id="rId220" Type="http://schemas.openxmlformats.org/officeDocument/2006/relationships/image" Target="media/image207.wmf"/><Relationship Id="rId241" Type="http://schemas.openxmlformats.org/officeDocument/2006/relationships/image" Target="media/image226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3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4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theme" Target="theme/theme1.xml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2.wmf"/><Relationship Id="rId26" Type="http://schemas.openxmlformats.org/officeDocument/2006/relationships/image" Target="media/image20.wmf"/><Relationship Id="rId231" Type="http://schemas.openxmlformats.org/officeDocument/2006/relationships/image" Target="media/image217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3.wmf"/><Relationship Id="rId47" Type="http://schemas.openxmlformats.org/officeDocument/2006/relationships/hyperlink" Target="consultantplus://offline/ref=18FE3CACCB62A41B80D1FF7E5296393C2C96284ABD8BAAFBA522A4EF6AE7150F9B8529E55888A11Ca8c3H" TargetMode="External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3.wmf"/><Relationship Id="rId340" Type="http://schemas.openxmlformats.org/officeDocument/2006/relationships/image" Target="media/image324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3.wmf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4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3.wmf"/><Relationship Id="rId211" Type="http://schemas.openxmlformats.org/officeDocument/2006/relationships/image" Target="media/image198.wmf"/><Relationship Id="rId232" Type="http://schemas.openxmlformats.org/officeDocument/2006/relationships/image" Target="media/image218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5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5.wmf"/><Relationship Id="rId362" Type="http://schemas.openxmlformats.org/officeDocument/2006/relationships/image" Target="media/image345.wmf"/><Relationship Id="rId383" Type="http://schemas.openxmlformats.org/officeDocument/2006/relationships/image" Target="media/image364.wmf"/><Relationship Id="rId201" Type="http://schemas.openxmlformats.org/officeDocument/2006/relationships/image" Target="media/image189.wmf"/><Relationship Id="rId222" Type="http://schemas.openxmlformats.org/officeDocument/2006/relationships/image" Target="media/image209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5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6.wmf"/><Relationship Id="rId187" Type="http://schemas.openxmlformats.org/officeDocument/2006/relationships/image" Target="media/image175.wmf"/><Relationship Id="rId331" Type="http://schemas.openxmlformats.org/officeDocument/2006/relationships/image" Target="media/image315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4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19.wmf"/><Relationship Id="rId254" Type="http://schemas.openxmlformats.org/officeDocument/2006/relationships/image" Target="media/image239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6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202" Type="http://schemas.openxmlformats.org/officeDocument/2006/relationships/hyperlink" Target="consultantplus://offline/ref=18FE3CACCB62A41B80D1FF7E5296393C2C922540BE81AAFBA522A4EF6AaEc7H" TargetMode="External"/><Relationship Id="rId223" Type="http://schemas.openxmlformats.org/officeDocument/2006/relationships/image" Target="media/image210.wmf"/><Relationship Id="rId244" Type="http://schemas.openxmlformats.org/officeDocument/2006/relationships/image" Target="media/image229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hyperlink" Target="consultantplus://offline/ref=18FE3CACCB62A41B80D1FF7E5296393C2C972140BD84AAFBA522A4EF6AaEc7H" TargetMode="External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6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0.wmf"/><Relationship Id="rId234" Type="http://schemas.openxmlformats.org/officeDocument/2006/relationships/hyperlink" Target="consultantplus://offline/ref=18FE3CACCB62A41B80D1FF7E5296393C25952741BA88F7F1AD7BA8ED6DE84A189CCC25E45888A2a1c8H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hyperlink" Target="consultantplus://offline/ref=18FE3CACCB62A41B80D1FF7E5296393C2C91264BBC8BAAFBA522A4EF6AaEc7H" TargetMode="External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7.wmf"/><Relationship Id="rId203" Type="http://schemas.openxmlformats.org/officeDocument/2006/relationships/image" Target="media/image190.wmf"/><Relationship Id="rId385" Type="http://schemas.openxmlformats.org/officeDocument/2006/relationships/image" Target="media/image366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hyperlink" Target="consultantplus://offline/ref=18FE3CACCB62A41B80D1FF7E5296393C2C942042B886AAFBA522A4EF6AE7150F9B8529E55888A31Da8c1H" TargetMode="External"/><Relationship Id="rId312" Type="http://schemas.openxmlformats.org/officeDocument/2006/relationships/image" Target="media/image297.wmf"/><Relationship Id="rId333" Type="http://schemas.openxmlformats.org/officeDocument/2006/relationships/image" Target="media/image317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hyperlink" Target="consultantplus://offline/ref=18FE3CACCB62A41B80D1FF7E5296393C2C96284ABD8BAAFBA522A4EF6AE7150F9B8529E55888A214a8c1H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76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image" Target="media/image178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298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57.wmf"/><Relationship Id="rId334" Type="http://schemas.openxmlformats.org/officeDocument/2006/relationships/image" Target="media/image318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hyperlink" Target="consultantplus://offline/ref=18FE3CACCB62A41B80D1FF7E5296393C2C96244BBF81AAFBA522A4EF6AE7150F9B8529E55888A11Da8cEH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77.wmf"/><Relationship Id="rId303" Type="http://schemas.openxmlformats.org/officeDocument/2006/relationships/image" Target="media/image288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79.wmf"/><Relationship Id="rId205" Type="http://schemas.openxmlformats.org/officeDocument/2006/relationships/image" Target="media/image192.wmf"/><Relationship Id="rId247" Type="http://schemas.openxmlformats.org/officeDocument/2006/relationships/image" Target="media/image232.wmf"/><Relationship Id="rId107" Type="http://schemas.openxmlformats.org/officeDocument/2006/relationships/image" Target="media/image99.wmf"/><Relationship Id="rId289" Type="http://schemas.openxmlformats.org/officeDocument/2006/relationships/image" Target="media/image2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9473-8C8C-46F2-9EA9-C4A7AD81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2014-11-24T07:59:00Z</cp:lastPrinted>
  <dcterms:created xsi:type="dcterms:W3CDTF">2014-12-25T12:17:00Z</dcterms:created>
  <dcterms:modified xsi:type="dcterms:W3CDTF">2015-01-13T06:09:00Z</dcterms:modified>
</cp:coreProperties>
</file>